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5  ·  ISO 27001 ANNEX A CONTROLS</w:t>
      </w:r>
    </w:p>
    <w:p>
      <w:pPr>
        <w:spacing w:after="80"/>
      </w:pPr>
      <w:r>
        <w:rPr>
          <w:rFonts w:ascii="Arial" w:cs="Arial" w:eastAsia="Arial" w:hAnsi="Arial"/>
          <w:b/>
          <w:bCs/>
          <w:caps/>
          <w:color w:val="4B5563"/>
          <w:sz w:val="18"/>
          <w:szCs w:val="18"/>
        </w:rPr>
        <w:t xml:space="preserve">ARTICLE 5.6  ·  MAPPING CONTROLS TO RISKS</w:t>
      </w:r>
    </w:p>
    <w:p>
      <w:pPr>
        <w:pStyle w:val="Heading1"/>
        <w:spacing w:after="120"/>
      </w:pPr>
      <w:r>
        <w:rPr>
          <w:rFonts w:ascii="Arial" w:cs="Arial" w:eastAsia="Arial" w:hAnsi="Arial"/>
          <w:b/>
          <w:bCs/>
          <w:color w:val="1B3A5C"/>
          <w:sz w:val="44"/>
          <w:szCs w:val="44"/>
        </w:rPr>
        <w:t xml:space="preserve">Mapping Controls to Risks</w:t>
      </w:r>
    </w:p>
    <w:p>
      <w:pPr>
        <w:spacing w:after="60"/>
      </w:pPr>
      <w:r>
        <w:rPr>
          <w:rFonts w:ascii="Georgia" w:cs="Georgia" w:eastAsia="Georgia" w:hAnsi="Georgia"/>
          <w:i/>
          <w:iCs/>
          <w:color w:val="4B5563"/>
          <w:sz w:val="24"/>
          <w:szCs w:val="24"/>
        </w:rPr>
        <w:t xml:space="preserve">A practical guide to building and maintaining a controls-to-risk traceability matrix that connects the risk register, Statement of Applicability, risk treatment plan, evidence library, and regulatory obligations into a single navigable framework — satisfying auditors, management, and regulators simultaneously.</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The most common structural weakness in ISO 27001 implementations is not a missing control or an undocumented policy — it is the absence of a coherent thread connecting the risk register to the controls that treat those risks to the evidence that proves the controls are working. Without this thread, the ISMS is a collection of individual documents rather than a management system. With it, every component becomes traceable to every other component — and the ISMS can be navigated, interrogated, and defended from any direction.</w:t>
      </w:r>
    </w:p>
    <w:p>
      <w:pPr>
        <w:spacing w:after="80"/>
      </w:pPr>
      <w:r>
        <w:t xml:space="preserve"/>
      </w:r>
    </w:p>
    <w:p>
      <w:pPr>
        <w:spacing w:after="160" w:line="320"/>
        <w:jc w:val="both"/>
      </w:pPr>
      <w:r>
        <w:rPr>
          <w:rFonts w:ascii="Georgia" w:cs="Georgia" w:eastAsia="Georgia" w:hAnsi="Georgia"/>
          <w:color w:val="111827"/>
          <w:sz w:val="22"/>
          <w:szCs w:val="22"/>
        </w:rPr>
        <w:t xml:space="preserve">A controls-to-risk traceability matrix is the artifact that creates this thread. It is not a new ISO 27001 requirement — the standard requires risk treatment (Clause 6.1.3), a Statement of Applicability (Clause 6.1.3), and documented risk treatment results (Clause 8.3) but does not mandate a specific matrix format. The traceability matrix is the practical implementation that satisfies all three requirements simultaneously while also answering the questions that auditors, management, and regulators actually ask.</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why traceability matters and what it enables, the matrix structure and what each column contributes, a worked example covering five real-world risks with full control mapping, the four directions the matrix must be navigable in, the eight-step process for building it, and the most common ways organizations get it wrong.</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Why Traceability Matters: Five Use Cases</w:t>
      </w:r>
    </w:p>
    <w:p>
      <w:pPr>
        <w:spacing w:after="80"/>
      </w:pPr>
      <w:r>
        <w:t xml:space="preserve"/>
      </w:r>
    </w:p>
    <w:p>
      <w:pPr>
        <w:spacing w:after="160" w:line="320"/>
        <w:jc w:val="both"/>
      </w:pPr>
      <w:r>
        <w:rPr>
          <w:rFonts w:ascii="Georgia" w:cs="Georgia" w:eastAsia="Georgia" w:hAnsi="Georgia"/>
          <w:color w:val="111827"/>
          <w:sz w:val="22"/>
          <w:szCs w:val="22"/>
        </w:rPr>
        <w:t xml:space="preserve">A well-constructed traceability matrix serves five distinct purposes simultaneously — each answering a different question from a different stakeholder. Understanding these purposes helps define what the matrix needs to contain and how it should be structured: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3780"/>
        <w:gridCol w:w="378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Purpose</w:t>
            </w:r>
          </w:p>
        </w:tc>
        <w:tc>
          <w:tcPr>
            <w:tcW w:type="dxa" w:w="37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Without traceability</w:t>
            </w:r>
          </w:p>
        </w:tc>
        <w:tc>
          <w:tcPr>
            <w:tcW w:type="dxa" w:w="37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With traceability</w:t>
            </w:r>
          </w:p>
        </w:tc>
      </w:tr>
      <w:tr>
        <w:tc>
          <w:tcPr>
            <w:tcW w:type="auto"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Audit defensibility</w:t>
            </w:r>
          </w:p>
        </w:tc>
        <w:tc>
          <w:tcPr>
            <w:tcW w:type="auto"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8"/>
                <w:szCs w:val="18"/>
              </w:rPr>
              <w:t xml:space="preserve">Auditors ask: 'Why is A.8.5 (Secure authentication) applicable?' Answer: 'Because MFA is a security best practice.' This does not satisfy the auditor — it shows the control was selected without reference to specific risks.</w:t>
            </w:r>
          </w:p>
        </w:tc>
        <w:tc>
          <w:tcPr>
            <w:tcW w:type="auto"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8"/>
                <w:szCs w:val="18"/>
              </w:rPr>
              <w:t xml:space="preserve">'A.8.5 is applicable because it treats risks R-007 (credential compromise of payment API accounts, score 20/25) and R-012 (unauthorized privileged access via stolen admin credentials, score 16/25). Both risks require MFA as a primary control per the risk treatment plan.' This is auditable, specific, and defensible.</w:t>
            </w:r>
          </w:p>
        </w:tc>
      </w:tr>
      <w:tr>
        <w:tc>
          <w:tcPr>
            <w:tcW w:type="auto" w:w="18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Risk treatment verification</w:t>
            </w:r>
          </w:p>
        </w:tc>
        <w:tc>
          <w:tcPr>
            <w:tcW w:type="auto"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8"/>
                <w:szCs w:val="18"/>
              </w:rPr>
              <w:t xml:space="preserve">Risk register shows 12 HIGH and CRITICAL risks. Risk treatment plan shows controls assigned. But are all HIGH/CRITICAL risks actually treated by the selected controls? Without a traceability matrix, this cannot be verified — and may not be true.</w:t>
            </w:r>
          </w:p>
        </w:tc>
        <w:tc>
          <w:tcPr>
            <w:tcW w:type="auto"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8"/>
                <w:szCs w:val="18"/>
              </w:rPr>
              <w:t xml:space="preserve">Traceability matrix shows every HIGH/CRITICAL risk mapped to at least one implemented control. Residual risk is traceable: which risks remain after controls are applied, at what score, and who has accepted the residual risk?</w:t>
            </w:r>
          </w:p>
        </w:tc>
      </w:tr>
      <w:tr>
        <w:tc>
          <w:tcPr>
            <w:tcW w:type="auto"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Control redundancy and gap analysis</w:t>
            </w:r>
          </w:p>
        </w:tc>
        <w:tc>
          <w:tcPr>
            <w:tcW w:type="auto"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8"/>
                <w:szCs w:val="18"/>
              </w:rPr>
              <w:t xml:space="preserve">Organization implements 65 of 93 controls. But is every significant risk treated? Or are some risks covered by five controls while others are covered by none? Without a matrix, control coverage is opaque.</w:t>
            </w:r>
          </w:p>
        </w:tc>
        <w:tc>
          <w:tcPr>
            <w:tcW w:type="auto"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8"/>
                <w:szCs w:val="18"/>
              </w:rPr>
              <w:t xml:space="preserve">Matrix reveals: R-003 (data exfiltration) is addressed by 8.12, 8.15, 8.22, and 5.14 — well covered. R-019 (UU PDP personal data breach) is mapped to 5.26 and 5.34 only — potentially under-controlled given the regulatory severity.</w:t>
            </w:r>
          </w:p>
        </w:tc>
      </w:tr>
      <w:tr>
        <w:tc>
          <w:tcPr>
            <w:tcW w:type="auto"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Management communication</w:t>
            </w:r>
          </w:p>
        </w:tc>
        <w:tc>
          <w:tcPr>
            <w:tcW w:type="auto"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8"/>
                <w:szCs w:val="18"/>
              </w:rPr>
              <w:t xml:space="preserve">Management review receives a list of controls implemented and a risk register. Executives cannot connect the two — they cannot tell whether the controls address the risks that matter most to the business.</w:t>
            </w:r>
          </w:p>
        </w:tc>
        <w:tc>
          <w:tcPr>
            <w:tcW w:type="auto"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8"/>
                <w:szCs w:val="18"/>
              </w:rPr>
              <w:t xml:space="preserve">Management review receives a traceability view showing the top 10 risks and which controls treat each one, with implementation status and residual risk score. Executives can assess whether resources are allocated to the highest-risk areas.</w:t>
            </w:r>
          </w:p>
        </w:tc>
      </w:tr>
      <w:tr>
        <w:tc>
          <w:tcPr>
            <w:tcW w:type="auto" w:w="1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Regulatory demonstration</w:t>
            </w:r>
          </w:p>
        </w:tc>
        <w:tc>
          <w:tcPr>
            <w:tcW w:type="auto" w:w="37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8"/>
                <w:szCs w:val="18"/>
              </w:rPr>
              <w:t xml:space="preserve">Regulator asks: 'How does your ISO 27001 ISMS address your UU PDP obligations?' The ISMS Manager produces a certificate but cannot explain the specific controls that address specific UU PDP articles.</w:t>
            </w:r>
          </w:p>
        </w:tc>
        <w:tc>
          <w:tcPr>
            <w:tcW w:type="auto" w:w="378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color w:val="065F46"/>
                <w:sz w:val="18"/>
                <w:szCs w:val="18"/>
              </w:rPr>
              <w:t xml:space="preserve">Traceability matrix has a regulatory column showing which UU PDP articles each control addresses. Regulator sees: 'A.5.34 (Privacy and PII) → UU PDP Articles 20–40 (data subject rights) and Article 46 (breach notification) → implemented with supporting evidence.'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CONNECTING THREAD</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traceability matrix creates the connecting thread between four ISMS artifacts that are often built in isolation: the risk register, the SoA, the risk treatment plan, and the evidence library. Organizations that build these four artifacts without connecting them produce an ISMS that looks complete on paper but cannot be navigated during an audit. An auditor who pulls one thread — 'show me how you treat your highest-rated risk' — should be able to follow it all the way to specific evidence in under two minutes. The matrix makes this possible.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Matrix Structure: What Each Column Does</w:t>
      </w:r>
    </w:p>
    <w:p>
      <w:pPr>
        <w:spacing w:after="80"/>
      </w:pPr>
      <w:r>
        <w:t xml:space="preserve"/>
      </w:r>
    </w:p>
    <w:p>
      <w:pPr>
        <w:spacing w:after="160" w:line="320"/>
        <w:jc w:val="both"/>
      </w:pPr>
      <w:r>
        <w:rPr>
          <w:rFonts w:ascii="Georgia" w:cs="Georgia" w:eastAsia="Georgia" w:hAnsi="Georgia"/>
          <w:color w:val="111827"/>
          <w:sz w:val="22"/>
          <w:szCs w:val="22"/>
        </w:rPr>
        <w:t xml:space="preserve">The traceability matrix has 11 columns, drawn from four source documents: the risk register, the SoA, the risk treatment plan, and the evidence library. Each column has a specific purpose — understanding the purpose of each column prevents the common mistake of building a matrix that looks complete but cannot answer the questions auditors actually ask:</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760"/>
        <w:gridCol w:w="1200"/>
        <w:gridCol w:w="3600"/>
        <w:gridCol w:w="2800"/>
      </w:tblGrid>
      <w:tr>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Column</w:t>
            </w:r>
          </w:p>
        </w:tc>
        <w:tc>
          <w:tcPr>
            <w:tcW w:type="dxa" w:w="1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Source</w:t>
            </w:r>
          </w:p>
        </w:tc>
        <w:tc>
          <w:tcPr>
            <w:tcW w:type="dxa" w:w="3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Purpose and content</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Example content</w:t>
            </w:r>
          </w:p>
        </w:tc>
      </w:tr>
      <w:tr>
        <w:tc>
          <w:tcPr>
            <w:tcW w:type="auto" w:w="176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Risk ID</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Risk register column</w:t>
            </w:r>
          </w:p>
        </w:tc>
        <w:tc>
          <w:tcPr>
            <w:tcW w:type="auto"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Unique identifier linking to the risk register entry. Must be the same ID used across the risk register, risk treatment plan, and SoA to create the connecting thread.</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R-007</w:t>
            </w:r>
          </w:p>
        </w:tc>
      </w:tr>
      <w:tr>
        <w:tc>
          <w:tcPr>
            <w:tcW w:type="auto" w:w="176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Risk description</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Risk register column</w:t>
            </w:r>
          </w:p>
        </w:tc>
        <w:tc>
          <w:tcPr>
            <w:tcW w:type="auto" w:w="36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Brief, specific description of the risk scenario — asset + threat + vulnerability. Not generic. Auditors use this to verify the risk is real and specific to the organization.</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Credential compromise of payment API admin accounts via phishing, enabling unauthorized transaction manipulation</w:t>
            </w:r>
          </w:p>
        </w:tc>
      </w:tr>
      <w:tr>
        <w:tc>
          <w:tcPr>
            <w:tcW w:type="auto" w:w="176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Risk score (inherent)</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Risk register column</w:t>
            </w:r>
          </w:p>
        </w:tc>
        <w:tc>
          <w:tcPr>
            <w:tcW w:type="auto"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The risk score before controls are applied. Establishes the starting point. HIGH/CRITICAL scores justify control selection. LOW scores require justification if significant controls are still selected.</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Score: 20/25 (Likelihood 4, Impact 5) — CRITICAL</w:t>
            </w:r>
          </w:p>
        </w:tc>
      </w:tr>
      <w:tr>
        <w:tc>
          <w:tcPr>
            <w:tcW w:type="auto" w:w="176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Annex A control(s)</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SoA column</w:t>
            </w:r>
          </w:p>
        </w:tc>
        <w:tc>
          <w:tcPr>
            <w:tcW w:type="auto" w:w="36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One or more Annex A controls that treat this risk. The link between the risk register and the SoA. Most risks will be treated by multiple controls — list all that contribute meaningfully.</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8.5 (Secure authentication — MFA), 8.2 (Privileged access rights — PAM), 5.17 (Authentication information — password policy)</w:t>
            </w:r>
          </w:p>
        </w:tc>
      </w:tr>
      <w:tr>
        <w:tc>
          <w:tcPr>
            <w:tcW w:type="auto" w:w="176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Additional controls</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SoA column</w:t>
            </w:r>
          </w:p>
        </w:tc>
        <w:tc>
          <w:tcPr>
            <w:tcW w:type="auto"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Non-Annex A controls selected to treat the risk — internal procedures, technical measures, or business process controls that supplement the Annex A controls.</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P-003 Privileged Access Procedure; Technical: hardware security tokens for API authentication</w:t>
            </w:r>
          </w:p>
        </w:tc>
      </w:tr>
      <w:tr>
        <w:tc>
          <w:tcPr>
            <w:tcW w:type="auto" w:w="176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Control implementation status</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SoA/RTP column</w:t>
            </w:r>
          </w:p>
        </w:tc>
        <w:tc>
          <w:tcPr>
            <w:tcW w:type="auto" w:w="36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Current implementation status per control: Implemented / Partial / Planned / Not started. Must reflect reality — auditors will test. 'Partial' is better than 'Implemented' for partially deployed controls.</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8.5: Implemented (MFA enrolled 97/98 accounts — 1 service account pending); 8.2: Implemented; 5.17: Implemented</w:t>
            </w:r>
          </w:p>
        </w:tc>
      </w:tr>
      <w:tr>
        <w:tc>
          <w:tcPr>
            <w:tcW w:type="auto" w:w="176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Risk score (residual)</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Risk register column</w:t>
            </w:r>
          </w:p>
        </w:tc>
        <w:tc>
          <w:tcPr>
            <w:tcW w:type="auto"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The risk score after controls are applied. Residual score must be lower than inherent score if controls are effective. Residual score drives the risk acceptance decision.</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Residual score: 8/25 (Likelihood 2, Impact 4) — MEDIUM after MFA and PAM deployed</w:t>
            </w:r>
          </w:p>
        </w:tc>
      </w:tr>
      <w:tr>
        <w:tc>
          <w:tcPr>
            <w:tcW w:type="auto" w:w="176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Risk owner</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Risk register column</w:t>
            </w:r>
          </w:p>
        </w:tc>
        <w:tc>
          <w:tcPr>
            <w:tcW w:type="auto" w:w="36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The business manager responsible for accepting the residual risk. Must be a named individual with authority over the assets. Not the ISMS Manager — the business owner.</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CTO — owns payment infrastructure</w:t>
            </w:r>
          </w:p>
        </w:tc>
      </w:tr>
      <w:tr>
        <w:tc>
          <w:tcPr>
            <w:tcW w:type="auto" w:w="176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Residual risk accepted?</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Risk register column</w:t>
            </w:r>
          </w:p>
        </w:tc>
        <w:tc>
          <w:tcPr>
            <w:tcW w:type="auto"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Formal documented acceptance by the risk owner. Must be signed or recorded with a date. Links to the risk acceptance records. Auditors verify this acceptance is documented and current.</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Yes — CTO signed risk acceptance 15 Jan 2026</w:t>
            </w:r>
          </w:p>
        </w:tc>
      </w:tr>
      <w:tr>
        <w:tc>
          <w:tcPr>
            <w:tcW w:type="auto" w:w="176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Regulatory obligation</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Compliance column</w:t>
            </w:r>
          </w:p>
        </w:tc>
        <w:tc>
          <w:tcPr>
            <w:tcW w:type="auto" w:w="36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Indonesian regulatory requirements addressed by this control-risk combination. Links ISO 27001 compliance to UU PDP, POJK, PBI, and BSSN obligations. Critical for regulated organizations.</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POJK 11/2022 Pasal 37 (authentication controls); UU PDP Pasal 35 (appropriate technical measures for personal data)</w:t>
            </w:r>
          </w:p>
        </w:tc>
      </w:tr>
      <w:tr>
        <w:tc>
          <w:tcPr>
            <w:tcW w:type="auto" w:w="1760"/>
            <w:tcBorders>
              <w:top w:val="single" w:color="DBEAFE" w:sz="1"/>
              <w:left w:val="single" w:color="DBEAFE" w:sz="1"/>
              <w:bottom w:val="single" w:color="DBEAFE" w:sz="1"/>
              <w:right w:val="single" w:color="DBEAFE" w:sz="1"/>
            </w:tcBorders>
            <w:shd w:fill="0E9F6E" w:val="clear"/>
            <w:tcMar>
              <w:top w:type="dxa" w:w="100"/>
              <w:left w:type="dxa" w:w="110"/>
              <w:bottom w:type="dxa" w:w="100"/>
              <w:right w:type="dxa" w:w="110"/>
            </w:tcMar>
          </w:tcPr>
          <w:p>
            <w:r>
              <w:rPr>
                <w:rFonts w:ascii="Arial" w:cs="Arial" w:eastAsia="Arial" w:hAnsi="Arial"/>
                <w:b/>
                <w:bCs/>
                <w:color w:val="FFFFFF"/>
                <w:sz w:val="18"/>
                <w:szCs w:val="18"/>
              </w:rPr>
              <w:t xml:space="preserve">Evidence reference</w:t>
            </w:r>
          </w:p>
        </w:tc>
        <w:tc>
          <w:tcPr>
            <w:tcW w:type="auto" w:w="12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i/>
                <w:iCs/>
                <w:color w:val="4B5563"/>
                <w:sz w:val="16"/>
                <w:szCs w:val="16"/>
              </w:rPr>
              <w:t xml:space="preserve">Evidence column</w:t>
            </w:r>
          </w:p>
        </w:tc>
        <w:tc>
          <w:tcPr>
            <w:tcW w:type="auto" w:w="36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Pointer to where evidence of control implementation lives — document path, system name, or GRC platform reference. Makes evidence retrieval fast during audit.</w:t>
            </w:r>
          </w:p>
        </w:tc>
        <w:tc>
          <w:tcPr>
            <w:tcW w:type="auto" w:w="2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ISMS Evidence Library: /Access Control/MFA-Enrollment-Report-2026-Q1.xlsx; IAM Console: MFA dashboard</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Column priority: Not all 11 columns are equally critical for the initial build. Priority 1 (audit essential): Risk ID, Risk description, Inherent score, Annex A controls, Implementation status, Residual score, Risk owner, Residual risk accepted. These 8 columns are what auditors test directly. Priority 2 (value-add): Additional controls, Regulatory obligation, Evidence reference. These 3 columns transform the matrix from an audit tool into a management and compliance tool. Build Priority 1 first — add Priority 2 columns as the matrix matures.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Four Directions of Traceability</w:t>
      </w:r>
    </w:p>
    <w:p>
      <w:pPr>
        <w:spacing w:after="80"/>
      </w:pPr>
      <w:r>
        <w:t xml:space="preserve"/>
      </w:r>
    </w:p>
    <w:p>
      <w:pPr>
        <w:spacing w:after="160" w:line="320"/>
        <w:jc w:val="both"/>
      </w:pPr>
      <w:r>
        <w:rPr>
          <w:rFonts w:ascii="Georgia" w:cs="Georgia" w:eastAsia="Georgia" w:hAnsi="Georgia"/>
          <w:color w:val="111827"/>
          <w:sz w:val="22"/>
          <w:szCs w:val="22"/>
        </w:rPr>
        <w:t xml:space="preserve">A genuinely useful traceability matrix is navigable in four directions — not just one. Organizations that build a matrix only navigable in one direction (e.g. control → risks) cannot answer questions posed from a different direction (e.g. risk → controls). Auditors and regulators ask questions from all four directions: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800"/>
        <w:gridCol w:w="3000"/>
        <w:gridCol w:w="276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Direction</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Question answered</w:t>
            </w:r>
          </w:p>
        </w:tc>
        <w:tc>
          <w:tcPr>
            <w:tcW w:type="dxa" w:w="3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Use case</w:t>
            </w:r>
          </w:p>
        </w:tc>
        <w:tc>
          <w:tcPr>
            <w:tcW w:type="dxa" w:w="2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Audit scenario</w:t>
            </w:r>
          </w:p>
        </w:tc>
      </w:tr>
      <w:tr>
        <w:tc>
          <w:tcPr>
            <w:tcW w:type="auto"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Risk → Controls</w:t>
            </w:r>
          </w:p>
        </w:tc>
        <w:tc>
          <w:tcPr>
            <w:tcW w:type="auto" w:w="1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8"/>
                <w:szCs w:val="18"/>
              </w:rPr>
              <w:t xml:space="preserve">For each risk: which controls treat it?</w:t>
            </w:r>
          </w:p>
        </w:tc>
        <w:tc>
          <w:tcPr>
            <w:tcW w:type="auto" w:w="3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Verify that every significant risk (HIGH/CRITICAL) is addressed by at least one implemented control. Identify risks with no controls — treatment gaps. Used in risk assessment review and management review.</w:t>
            </w:r>
          </w:p>
        </w:tc>
        <w:tc>
          <w:tcPr>
            <w:tcW w:type="auto"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Auditor selects a HIGH-rated risk from the register and asks: 'Which controls treat this risk and where is the implementation evidence?' This direction of query requires risk → control traceability.</w:t>
            </w:r>
          </w:p>
        </w:tc>
      </w:tr>
      <w:tr>
        <w:tc>
          <w:tcPr>
            <w:tcW w:type="auto"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Control → Risks</w:t>
            </w:r>
          </w:p>
        </w:tc>
        <w:tc>
          <w:tcPr>
            <w:tcW w:type="auto" w:w="1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i/>
                <w:iCs/>
                <w:color w:val="1B3A5C"/>
                <w:sz w:val="18"/>
                <w:szCs w:val="18"/>
              </w:rPr>
              <w:t xml:space="preserve">For each control: which risks justify it?</w:t>
            </w:r>
          </w:p>
        </w:tc>
        <w:tc>
          <w:tcPr>
            <w:tcW w:type="auto" w:w="3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Verify that every applicable control in the SoA has a risk justification. If no risk maps to a control, either the control is not needed (SoA applicability should be reconsidered) or the risk assessment missed a risk. Used for SoA applicability review and control justification.</w:t>
            </w:r>
          </w:p>
        </w:tc>
        <w:tc>
          <w:tcPr>
            <w:tcW w:type="auto"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Auditor selects a control from the SoA and asks: 'What specific organizational risk drives the applicability of this control?' Control → risk traceability provides the answer directly.</w:t>
            </w:r>
          </w:p>
        </w:tc>
      </w:tr>
      <w:tr>
        <w:tc>
          <w:tcPr>
            <w:tcW w:type="auto"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Control → Evidence</w:t>
            </w:r>
          </w:p>
        </w:tc>
        <w:tc>
          <w:tcPr>
            <w:tcW w:type="auto" w:w="1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8"/>
                <w:szCs w:val="18"/>
              </w:rPr>
              <w:t xml:space="preserve">For each control: where is the implementation evidence?</w:t>
            </w:r>
          </w:p>
        </w:tc>
        <w:tc>
          <w:tcPr>
            <w:tcW w:type="auto" w:w="3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The evidence traceability direction — mapping from the SoA implementation status to the actual evidence documents or system records that prove the status. Critical for audit preparation — every 'Implemented' in the SoA needs an evidence pointer.</w:t>
            </w:r>
          </w:p>
        </w:tc>
        <w:tc>
          <w:tcPr>
            <w:tcW w:type="auto"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Auditor selects a control marked 'Implemented' in the SoA and asks for the evidence. Control → evidence traceability means the ISMS Manager navigates directly to the evidence location without searching.</w:t>
            </w:r>
          </w:p>
        </w:tc>
      </w:tr>
      <w:tr>
        <w:tc>
          <w:tcPr>
            <w:tcW w:type="auto" w:w="1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Regulation → Controls</w:t>
            </w:r>
          </w:p>
        </w:tc>
        <w:tc>
          <w:tcPr>
            <w:tcW w:type="auto" w:w="18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i/>
                <w:iCs/>
                <w:color w:val="1B3A5C"/>
                <w:sz w:val="18"/>
                <w:szCs w:val="18"/>
              </w:rPr>
              <w:t xml:space="preserve">For each regulatory requirement: which controls address it?</w:t>
            </w:r>
          </w:p>
        </w:tc>
        <w:tc>
          <w:tcPr>
            <w:tcW w:type="auto" w:w="300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The regulatory compliance direction — mapping from UU PDP articles, POJK requirements, and BI standards to the specific controls that satisfy them. Used for regulatory reporting, examiner responses, and compliance attestations.</w:t>
            </w:r>
          </w:p>
        </w:tc>
        <w:tc>
          <w:tcPr>
            <w:tcW w:type="auto" w:w="276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OJK examiner asks: 'How does your ISMS address the authentication requirements in POJK 11/2022 Pasal 37?' Regulation → control traceability provides the answer: '8.5 (MFA), 5.17 (password policy), 8.2 (PAM) — see evidence at [location].'</w:t>
            </w:r>
          </w:p>
        </w:tc>
      </w:tr>
    </w:tbl>
    <w:p>
      <w:pPr>
        <w:spacing w:after="160"/>
      </w:pPr>
      <w:r>
        <w:t xml:space="preserve"/>
      </w:r>
    </w:p>
    <w:p>
      <w:pPr>
        <w:spacing w:after="160" w:line="320"/>
        <w:jc w:val="both"/>
      </w:pPr>
      <w:r>
        <w:rPr>
          <w:rFonts w:ascii="Georgia" w:cs="Georgia" w:eastAsia="Georgia" w:hAnsi="Georgia"/>
          <w:color w:val="111827"/>
          <w:sz w:val="22"/>
          <w:szCs w:val="22"/>
        </w:rPr>
        <w:t xml:space="preserve">In practice, a well-structured spreadsheet or GRC platform makes all four directions available through filtering, sorting, and lookup. A risk-centric matrix (rows organized by risk) is naturally Risk → Control. A control-centric matrix (rows organized by control) is naturally Control → Risk. The most flexible format uses a risk-centric primary view with control reference cross-indexes that support lookup from the control direction.</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Worked Example: Five-Risk Traceability Matrix</w:t>
      </w:r>
    </w:p>
    <w:p>
      <w:pPr>
        <w:spacing w:after="80"/>
      </w:pPr>
      <w:r>
        <w:t xml:space="preserve"/>
      </w:r>
    </w:p>
    <w:p>
      <w:pPr>
        <w:spacing w:after="160" w:line="320"/>
        <w:jc w:val="both"/>
      </w:pPr>
      <w:r>
        <w:rPr>
          <w:rFonts w:ascii="Georgia" w:cs="Georgia" w:eastAsia="Georgia" w:hAnsi="Georgia"/>
          <w:color w:val="111827"/>
          <w:sz w:val="22"/>
          <w:szCs w:val="22"/>
        </w:rPr>
        <w:t xml:space="preserve">The worked example below covers five representative risks from a financial technology organization operating in Indonesia — showing the complete traceability from risk ID through control selection, implementation status, residual risk, ownership, and regulatory links. This is the format that satisfies Stage 2 auditors and OJK examiners simultaneously:</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560"/>
        <w:gridCol w:w="2000"/>
        <w:gridCol w:w="760"/>
        <w:gridCol w:w="2000"/>
        <w:gridCol w:w="1360"/>
        <w:gridCol w:w="680"/>
        <w:gridCol w:w="1200"/>
        <w:gridCol w:w="800"/>
      </w:tblGrid>
      <w:tr>
        <w:tc>
          <w:tcPr>
            <w:tcW w:type="dxa" w:w="56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6"/>
                <w:szCs w:val="16"/>
              </w:rPr>
              <w:t xml:space="preserve">Risk ID</w:t>
            </w:r>
          </w:p>
        </w:tc>
        <w:tc>
          <w:tcPr>
            <w:tcW w:type="dxa" w:w="20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6"/>
                <w:szCs w:val="16"/>
              </w:rPr>
              <w:t xml:space="preserve">Risk scenario (abbreviated)</w:t>
            </w:r>
          </w:p>
        </w:tc>
        <w:tc>
          <w:tcPr>
            <w:tcW w:type="dxa" w:w="76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6"/>
                <w:szCs w:val="16"/>
              </w:rPr>
              <w:t xml:space="preserve">Inherent score</w:t>
            </w:r>
          </w:p>
        </w:tc>
        <w:tc>
          <w:tcPr>
            <w:tcW w:type="dxa" w:w="20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6"/>
                <w:szCs w:val="16"/>
              </w:rPr>
              <w:t xml:space="preserve">Controls selected</w:t>
            </w:r>
          </w:p>
        </w:tc>
        <w:tc>
          <w:tcPr>
            <w:tcW w:type="dxa" w:w="136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6"/>
                <w:szCs w:val="16"/>
              </w:rPr>
              <w:t xml:space="preserve">Status</w:t>
            </w:r>
          </w:p>
        </w:tc>
        <w:tc>
          <w:tcPr>
            <w:tcW w:type="dxa" w:w="68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6"/>
                <w:szCs w:val="16"/>
              </w:rPr>
              <w:t xml:space="preserve">Residual</w:t>
            </w:r>
          </w:p>
        </w:tc>
        <w:tc>
          <w:tcPr>
            <w:tcW w:type="dxa" w:w="12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6"/>
                <w:szCs w:val="16"/>
              </w:rPr>
              <w:t xml:space="preserve">Owner / Accepted</w:t>
            </w:r>
          </w:p>
        </w:tc>
        <w:tc>
          <w:tcPr>
            <w:tcW w:type="dxa" w:w="800"/>
            <w:tcBorders>
              <w:top w:val="single" w:color="DBEAFE" w:sz="1"/>
              <w:left w:val="single" w:color="DBEAFE" w:sz="1"/>
              <w:bottom w:val="single" w:color="DBEAFE" w:sz="1"/>
              <w:right w:val="single" w:color="DBEAFE" w:sz="1"/>
            </w:tcBorders>
            <w:shd w:fill="1B3A5C" w:val="clear"/>
            <w:tcMar>
              <w:top w:type="dxa" w:w="80"/>
              <w:left w:type="dxa" w:w="90"/>
              <w:bottom w:type="dxa" w:w="80"/>
              <w:right w:type="dxa" w:w="90"/>
            </w:tcMar>
          </w:tcPr>
          <w:p>
            <w:pPr>
              <w:jc w:val="center"/>
            </w:pPr>
            <w:r>
              <w:rPr>
                <w:rFonts w:ascii="Arial" w:cs="Arial" w:eastAsia="Arial" w:hAnsi="Arial"/>
                <w:b/>
                <w:bCs/>
                <w:color w:val="FFFFFF"/>
                <w:sz w:val="16"/>
                <w:szCs w:val="16"/>
              </w:rPr>
              <w:t xml:space="preserve">Regulatory link</w:t>
            </w:r>
          </w:p>
        </w:tc>
      </w:tr>
      <w:tr>
        <w:tc>
          <w:tcPr>
            <w:tcW w:type="auto" w:w="560"/>
            <w:tcBorders>
              <w:top w:val="single" w:color="DBEAFE" w:sz="1"/>
              <w:left w:val="single" w:color="DBEAFE" w:sz="1"/>
              <w:bottom w:val="single" w:color="DBEAFE" w:sz="1"/>
              <w:right w:val="single" w:color="DBEAFE" w:sz="1"/>
            </w:tcBorders>
            <w:shd w:fill="991B1B" w:val="clear"/>
            <w:tcMar>
              <w:top w:type="dxa" w:w="90"/>
              <w:left w:type="dxa" w:w="80"/>
              <w:bottom w:type="dxa" w:w="90"/>
              <w:right w:type="dxa" w:w="80"/>
            </w:tcMar>
            <w:vAlign w:val="center"/>
          </w:tcPr>
          <w:p>
            <w:pPr>
              <w:jc w:val="center"/>
            </w:pPr>
            <w:r>
              <w:rPr>
                <w:rFonts w:ascii="Arial" w:cs="Arial" w:eastAsia="Arial" w:hAnsi="Arial"/>
                <w:b/>
                <w:bCs/>
                <w:color w:val="FFFFFF"/>
                <w:sz w:val="16"/>
                <w:szCs w:val="16"/>
              </w:rPr>
              <w:t xml:space="preserve">R-003</w:t>
            </w:r>
          </w:p>
        </w:tc>
        <w:tc>
          <w:tcPr>
            <w:tcW w:type="auto" w:w="2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Unauthorized exfiltration of customer personal data by insider or compromised account</w:t>
            </w:r>
          </w:p>
        </w:tc>
        <w:tc>
          <w:tcPr>
            <w:tcW w:type="auto" w:w="760"/>
            <w:tcBorders>
              <w:top w:val="single" w:color="DBEAFE" w:sz="1"/>
              <w:left w:val="single" w:color="DBEAFE" w:sz="1"/>
              <w:bottom w:val="single" w:color="DBEAFE" w:sz="1"/>
              <w:right w:val="single" w:color="DBEAFE" w:sz="1"/>
            </w:tcBorders>
            <w:shd w:fill="F5F3FF" w:val="clear"/>
            <w:tcMar>
              <w:top w:type="dxa" w:w="90"/>
              <w:left w:type="dxa" w:w="70"/>
              <w:bottom w:type="dxa" w:w="90"/>
              <w:right w:type="dxa" w:w="70"/>
            </w:tcMar>
          </w:tcPr>
          <w:p>
            <w:pPr>
              <w:jc w:val="center"/>
            </w:pPr>
            <w:r>
              <w:rPr>
                <w:rFonts w:ascii="Arial" w:cs="Arial" w:eastAsia="Arial" w:hAnsi="Arial"/>
                <w:b/>
                <w:bCs/>
                <w:color w:val="991B1B"/>
                <w:sz w:val="15"/>
                <w:szCs w:val="15"/>
              </w:rPr>
              <w:t xml:space="preserve">20/25 CRITICAL</w:t>
            </w:r>
          </w:p>
        </w:tc>
        <w:tc>
          <w:tcPr>
            <w:tcW w:type="auto" w:w="200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pPr>
              <w:spacing w:after="30"/>
            </w:pPr>
            <w:r>
              <w:rPr>
                <w:rFonts w:ascii="Georgia" w:cs="Georgia" w:eastAsia="Georgia" w:hAnsi="Georgia"/>
                <w:color w:val="1B3A5C"/>
                <w:sz w:val="15"/>
                <w:szCs w:val="15"/>
              </w:rPr>
              <w:t xml:space="preserve">• 8.12 Data leakage prevention</w:t>
            </w:r>
          </w:p>
          <w:p>
            <w:pPr>
              <w:spacing w:after="30"/>
            </w:pPr>
            <w:r>
              <w:rPr>
                <w:rFonts w:ascii="Georgia" w:cs="Georgia" w:eastAsia="Georgia" w:hAnsi="Georgia"/>
                <w:color w:val="1B3A5C"/>
                <w:sz w:val="15"/>
                <w:szCs w:val="15"/>
              </w:rPr>
              <w:t xml:space="preserve">• 8.15 Logging</w:t>
            </w:r>
          </w:p>
          <w:p>
            <w:pPr>
              <w:spacing w:after="30"/>
            </w:pPr>
            <w:r>
              <w:rPr>
                <w:rFonts w:ascii="Georgia" w:cs="Georgia" w:eastAsia="Georgia" w:hAnsi="Georgia"/>
                <w:color w:val="1B3A5C"/>
                <w:sz w:val="15"/>
                <w:szCs w:val="15"/>
              </w:rPr>
              <w:t xml:space="preserve">• 8.3 Information access restriction</w:t>
            </w:r>
          </w:p>
          <w:p>
            <w:pPr>
              <w:spacing w:after="30"/>
            </w:pPr>
            <w:r>
              <w:rPr>
                <w:rFonts w:ascii="Georgia" w:cs="Georgia" w:eastAsia="Georgia" w:hAnsi="Georgia"/>
                <w:color w:val="1B3A5C"/>
                <w:sz w:val="15"/>
                <w:szCs w:val="15"/>
              </w:rPr>
              <w:t xml:space="preserve">• 5.14 Information transfer</w:t>
            </w:r>
          </w:p>
          <w:p>
            <w:pPr>
              <w:spacing w:after="30"/>
            </w:pPr>
            <w:r>
              <w:rPr>
                <w:rFonts w:ascii="Georgia" w:cs="Georgia" w:eastAsia="Georgia" w:hAnsi="Georgia"/>
                <w:color w:val="1B3A5C"/>
                <w:sz w:val="15"/>
                <w:szCs w:val="15"/>
              </w:rPr>
              <w:t xml:space="preserve">• 5.12 Classification</w:t>
            </w:r>
          </w:p>
        </w:tc>
        <w:tc>
          <w:tcPr>
            <w:tcW w:type="auto" w:w="136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r>
              <w:rPr>
                <w:rFonts w:ascii="Georgia" w:cs="Georgia" w:eastAsia="Georgia" w:hAnsi="Georgia"/>
                <w:color w:val="111827"/>
                <w:sz w:val="14"/>
                <w:szCs w:val="14"/>
              </w:rPr>
              <w:t xml:space="preserve">8.12: Implemented (email DLP active, cloud upload DLP partial)
8.15: Implemented
8.3: Implemented
5.14: Implemented
5.12: Implemented</w:t>
            </w:r>
          </w:p>
        </w:tc>
        <w:tc>
          <w:tcPr>
            <w:tcW w:type="auto" w:w="680"/>
            <w:tcBorders>
              <w:top w:val="single" w:color="DBEAFE" w:sz="1"/>
              <w:left w:val="single" w:color="DBEAFE" w:sz="1"/>
              <w:bottom w:val="single" w:color="DBEAFE" w:sz="1"/>
              <w:right w:val="single" w:color="DBEAFE" w:sz="1"/>
            </w:tcBorders>
            <w:shd w:fill="FEF2F2" w:val="clear"/>
            <w:tcMar>
              <w:top w:type="dxa" w:w="90"/>
              <w:left w:type="dxa" w:w="70"/>
              <w:bottom w:type="dxa" w:w="90"/>
              <w:right w:type="dxa" w:w="70"/>
            </w:tcMar>
          </w:tcPr>
          <w:p>
            <w:pPr>
              <w:jc w:val="center"/>
            </w:pPr>
            <w:r>
              <w:rPr>
                <w:rFonts w:ascii="Arial" w:cs="Arial" w:eastAsia="Arial" w:hAnsi="Arial"/>
                <w:b/>
                <w:bCs/>
                <w:color w:val="991B1B"/>
                <w:sz w:val="14"/>
                <w:szCs w:val="14"/>
              </w:rPr>
              <w:t xml:space="preserve">10/25 HIGH</w:t>
            </w:r>
          </w:p>
        </w:tc>
        <w:tc>
          <w:tcPr>
            <w:tcW w:type="auto" w:w="12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Georgia" w:cs="Georgia" w:eastAsia="Georgia" w:hAnsi="Georgia"/>
                <w:i/>
                <w:iCs/>
                <w:color w:val="3730A3"/>
                <w:sz w:val="14"/>
                <w:szCs w:val="14"/>
              </w:rPr>
              <w:t xml:space="preserve">CISO
Partially — CTO notes DLP cloud coverage not complete; treatment plan item TRP-008 active</w:t>
            </w:r>
          </w:p>
        </w:tc>
        <w:tc>
          <w:tcPr>
            <w:tcW w:type="auto" w:w="800"/>
            <w:tcBorders>
              <w:top w:val="single" w:color="DBEAFE" w:sz="1"/>
              <w:left w:val="single" w:color="DBEAFE" w:sz="1"/>
              <w:bottom w:val="single" w:color="DBEAFE" w:sz="1"/>
              <w:right w:val="single" w:color="DBEAFE" w:sz="1"/>
            </w:tcBorders>
            <w:shd w:fill="EBF2FB" w:val="clear"/>
            <w:tcMar>
              <w:top w:type="dxa" w:w="90"/>
              <w:left w:type="dxa" w:w="70"/>
              <w:bottom w:type="dxa" w:w="90"/>
              <w:right w:type="dxa" w:w="70"/>
            </w:tcMar>
          </w:tcPr>
          <w:p>
            <w:r>
              <w:rPr>
                <w:rFonts w:ascii="Georgia" w:cs="Georgia" w:eastAsia="Georgia" w:hAnsi="Georgia"/>
                <w:i/>
                <w:iCs/>
                <w:color w:val="1B3A5C"/>
                <w:sz w:val="13"/>
                <w:szCs w:val="13"/>
              </w:rPr>
              <w:t xml:space="preserve">UU PDP Article 35 (technical measures); UU PDP Article 46 (breach notification trigger)</w:t>
            </w:r>
          </w:p>
        </w:tc>
      </w:tr>
      <w:tr>
        <w:tc>
          <w:tcPr>
            <w:tcW w:type="auto" w:w="560"/>
            <w:tcBorders>
              <w:top w:val="single" w:color="DBEAFE" w:sz="1"/>
              <w:left w:val="single" w:color="DBEAFE" w:sz="1"/>
              <w:bottom w:val="single" w:color="DBEAFE" w:sz="1"/>
              <w:right w:val="single" w:color="DBEAFE" w:sz="1"/>
            </w:tcBorders>
            <w:shd w:fill="C2410C" w:val="clear"/>
            <w:tcMar>
              <w:top w:type="dxa" w:w="90"/>
              <w:left w:type="dxa" w:w="80"/>
              <w:bottom w:type="dxa" w:w="90"/>
              <w:right w:type="dxa" w:w="80"/>
            </w:tcMar>
            <w:vAlign w:val="center"/>
          </w:tcPr>
          <w:p>
            <w:pPr>
              <w:jc w:val="center"/>
            </w:pPr>
            <w:r>
              <w:rPr>
                <w:rFonts w:ascii="Arial" w:cs="Arial" w:eastAsia="Arial" w:hAnsi="Arial"/>
                <w:b/>
                <w:bCs/>
                <w:color w:val="FFFFFF"/>
                <w:sz w:val="16"/>
                <w:szCs w:val="16"/>
              </w:rPr>
              <w:t xml:space="preserve">R-007</w:t>
            </w:r>
          </w:p>
        </w:tc>
        <w:tc>
          <w:tcPr>
            <w:tcW w:type="auto" w:w="2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Credential compromise of payment API admin accounts via phishing enabling unauthorized transactions</w:t>
            </w:r>
          </w:p>
        </w:tc>
        <w:tc>
          <w:tcPr>
            <w:tcW w:type="auto" w:w="760"/>
            <w:tcBorders>
              <w:top w:val="single" w:color="DBEAFE" w:sz="1"/>
              <w:left w:val="single" w:color="DBEAFE" w:sz="1"/>
              <w:bottom w:val="single" w:color="DBEAFE" w:sz="1"/>
              <w:right w:val="single" w:color="DBEAFE" w:sz="1"/>
            </w:tcBorders>
            <w:shd w:fill="FFF7ED" w:val="clear"/>
            <w:tcMar>
              <w:top w:type="dxa" w:w="90"/>
              <w:left w:type="dxa" w:w="70"/>
              <w:bottom w:type="dxa" w:w="90"/>
              <w:right w:type="dxa" w:w="70"/>
            </w:tcMar>
          </w:tcPr>
          <w:p>
            <w:pPr>
              <w:jc w:val="center"/>
            </w:pPr>
            <w:r>
              <w:rPr>
                <w:rFonts w:ascii="Arial" w:cs="Arial" w:eastAsia="Arial" w:hAnsi="Arial"/>
                <w:b/>
                <w:bCs/>
                <w:color w:val="C2410C"/>
                <w:sz w:val="15"/>
                <w:szCs w:val="15"/>
              </w:rPr>
              <w:t xml:space="preserve">20/25 CRITICAL</w:t>
            </w:r>
          </w:p>
        </w:tc>
        <w:tc>
          <w:tcPr>
            <w:tcW w:type="auto" w:w="200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pPr>
              <w:spacing w:after="30"/>
            </w:pPr>
            <w:r>
              <w:rPr>
                <w:rFonts w:ascii="Georgia" w:cs="Georgia" w:eastAsia="Georgia" w:hAnsi="Georgia"/>
                <w:color w:val="1B3A5C"/>
                <w:sz w:val="15"/>
                <w:szCs w:val="15"/>
              </w:rPr>
              <w:t xml:space="preserve">• 8.5 Secure authentication (MFA)</w:t>
            </w:r>
          </w:p>
          <w:p>
            <w:pPr>
              <w:spacing w:after="30"/>
            </w:pPr>
            <w:r>
              <w:rPr>
                <w:rFonts w:ascii="Georgia" w:cs="Georgia" w:eastAsia="Georgia" w:hAnsi="Georgia"/>
                <w:color w:val="1B3A5C"/>
                <w:sz w:val="15"/>
                <w:szCs w:val="15"/>
              </w:rPr>
              <w:t xml:space="preserve">• 8.2 Privileged access rights</w:t>
            </w:r>
          </w:p>
          <w:p>
            <w:pPr>
              <w:spacing w:after="30"/>
            </w:pPr>
            <w:r>
              <w:rPr>
                <w:rFonts w:ascii="Georgia" w:cs="Georgia" w:eastAsia="Georgia" w:hAnsi="Georgia"/>
                <w:color w:val="1B3A5C"/>
                <w:sz w:val="15"/>
                <w:szCs w:val="15"/>
              </w:rPr>
              <w:t xml:space="preserve">• 5.17 Authentication information</w:t>
            </w:r>
          </w:p>
          <w:p>
            <w:pPr>
              <w:spacing w:after="30"/>
            </w:pPr>
            <w:r>
              <w:rPr>
                <w:rFonts w:ascii="Georgia" w:cs="Georgia" w:eastAsia="Georgia" w:hAnsi="Georgia"/>
                <w:color w:val="1B3A5C"/>
                <w:sz w:val="15"/>
                <w:szCs w:val="15"/>
              </w:rPr>
              <w:t xml:space="preserve">• 6.3 Awareness (phishing training)</w:t>
            </w:r>
          </w:p>
          <w:p>
            <w:pPr>
              <w:spacing w:after="30"/>
            </w:pPr>
            <w:r>
              <w:rPr>
                <w:rFonts w:ascii="Georgia" w:cs="Georgia" w:eastAsia="Georgia" w:hAnsi="Georgia"/>
                <w:color w:val="1B3A5C"/>
                <w:sz w:val="15"/>
                <w:szCs w:val="15"/>
              </w:rPr>
              <w:t xml:space="preserve">• 8.7 Anti-malware</w:t>
            </w:r>
          </w:p>
        </w:tc>
        <w:tc>
          <w:tcPr>
            <w:tcW w:type="auto" w:w="136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r>
              <w:rPr>
                <w:rFonts w:ascii="Georgia" w:cs="Georgia" w:eastAsia="Georgia" w:hAnsi="Georgia"/>
                <w:color w:val="111827"/>
                <w:sz w:val="14"/>
                <w:szCs w:val="14"/>
              </w:rPr>
              <w:t xml:space="preserve">All: Implemented — MFA enrolled 97/98 accounts; 1 service account on roadmap (TRP-012)</w:t>
            </w:r>
          </w:p>
        </w:tc>
        <w:tc>
          <w:tcPr>
            <w:tcW w:type="auto" w:w="680"/>
            <w:tcBorders>
              <w:top w:val="single" w:color="DBEAFE" w:sz="1"/>
              <w:left w:val="single" w:color="DBEAFE" w:sz="1"/>
              <w:bottom w:val="single" w:color="DBEAFE" w:sz="1"/>
              <w:right w:val="single" w:color="DBEAFE" w:sz="1"/>
            </w:tcBorders>
            <w:shd w:fill="FFFBEB" w:val="clear"/>
            <w:tcMar>
              <w:top w:type="dxa" w:w="90"/>
              <w:left w:type="dxa" w:w="70"/>
              <w:bottom w:type="dxa" w:w="90"/>
              <w:right w:type="dxa" w:w="70"/>
            </w:tcMar>
          </w:tcPr>
          <w:p>
            <w:pPr>
              <w:jc w:val="center"/>
            </w:pPr>
            <w:r>
              <w:rPr>
                <w:rFonts w:ascii="Arial" w:cs="Arial" w:eastAsia="Arial" w:hAnsi="Arial"/>
                <w:b/>
                <w:bCs/>
                <w:color w:val="B45309"/>
                <w:sz w:val="14"/>
                <w:szCs w:val="14"/>
              </w:rPr>
              <w:t xml:space="preserve">8/25 MEDIUM</w:t>
            </w:r>
          </w:p>
        </w:tc>
        <w:tc>
          <w:tcPr>
            <w:tcW w:type="auto" w:w="12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Georgia" w:cs="Georgia" w:eastAsia="Georgia" w:hAnsi="Georgia"/>
                <w:i/>
                <w:iCs/>
                <w:color w:val="3730A3"/>
                <w:sz w:val="14"/>
                <w:szCs w:val="14"/>
              </w:rPr>
              <w:t xml:space="preserve">CTO
Yes — CTO signed 15 Jan 2026</w:t>
            </w:r>
          </w:p>
        </w:tc>
        <w:tc>
          <w:tcPr>
            <w:tcW w:type="auto" w:w="800"/>
            <w:tcBorders>
              <w:top w:val="single" w:color="DBEAFE" w:sz="1"/>
              <w:left w:val="single" w:color="DBEAFE" w:sz="1"/>
              <w:bottom w:val="single" w:color="DBEAFE" w:sz="1"/>
              <w:right w:val="single" w:color="DBEAFE" w:sz="1"/>
            </w:tcBorders>
            <w:shd w:fill="EBF2FB" w:val="clear"/>
            <w:tcMar>
              <w:top w:type="dxa" w:w="90"/>
              <w:left w:type="dxa" w:w="70"/>
              <w:bottom w:type="dxa" w:w="90"/>
              <w:right w:type="dxa" w:w="70"/>
            </w:tcMar>
          </w:tcPr>
          <w:p>
            <w:r>
              <w:rPr>
                <w:rFonts w:ascii="Georgia" w:cs="Georgia" w:eastAsia="Georgia" w:hAnsi="Georgia"/>
                <w:i/>
                <w:iCs/>
                <w:color w:val="1B3A5C"/>
                <w:sz w:val="13"/>
                <w:szCs w:val="13"/>
              </w:rPr>
              <w:t xml:space="preserve">POJK 11/2022 authentication requirements; BI PBI payment system access controls</w:t>
            </w:r>
          </w:p>
        </w:tc>
      </w:tr>
      <w:tr>
        <w:tc>
          <w:tcPr>
            <w:tcW w:type="auto" w:w="560"/>
            <w:tcBorders>
              <w:top w:val="single" w:color="DBEAFE" w:sz="1"/>
              <w:left w:val="single" w:color="DBEAFE" w:sz="1"/>
              <w:bottom w:val="single" w:color="DBEAFE" w:sz="1"/>
              <w:right w:val="single" w:color="DBEAFE" w:sz="1"/>
            </w:tcBorders>
            <w:shd w:fill="B45309" w:val="clear"/>
            <w:tcMar>
              <w:top w:type="dxa" w:w="90"/>
              <w:left w:type="dxa" w:w="80"/>
              <w:bottom w:type="dxa" w:w="90"/>
              <w:right w:type="dxa" w:w="80"/>
            </w:tcMar>
            <w:vAlign w:val="center"/>
          </w:tcPr>
          <w:p>
            <w:pPr>
              <w:jc w:val="center"/>
            </w:pPr>
            <w:r>
              <w:rPr>
                <w:rFonts w:ascii="Arial" w:cs="Arial" w:eastAsia="Arial" w:hAnsi="Arial"/>
                <w:b/>
                <w:bCs/>
                <w:color w:val="FFFFFF"/>
                <w:sz w:val="16"/>
                <w:szCs w:val="16"/>
              </w:rPr>
              <w:t xml:space="preserve">R-012</w:t>
            </w:r>
          </w:p>
        </w:tc>
        <w:tc>
          <w:tcPr>
            <w:tcW w:type="auto" w:w="2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Supply chain attack via compromised software dependency in production application</w:t>
            </w:r>
          </w:p>
        </w:tc>
        <w:tc>
          <w:tcPr>
            <w:tcW w:type="auto" w:w="760"/>
            <w:tcBorders>
              <w:top w:val="single" w:color="DBEAFE" w:sz="1"/>
              <w:left w:val="single" w:color="DBEAFE" w:sz="1"/>
              <w:bottom w:val="single" w:color="DBEAFE" w:sz="1"/>
              <w:right w:val="single" w:color="DBEAFE" w:sz="1"/>
            </w:tcBorders>
            <w:shd w:fill="FFFBEB" w:val="clear"/>
            <w:tcMar>
              <w:top w:type="dxa" w:w="90"/>
              <w:left w:type="dxa" w:w="70"/>
              <w:bottom w:type="dxa" w:w="90"/>
              <w:right w:type="dxa" w:w="70"/>
            </w:tcMar>
          </w:tcPr>
          <w:p>
            <w:pPr>
              <w:jc w:val="center"/>
            </w:pPr>
            <w:r>
              <w:rPr>
                <w:rFonts w:ascii="Arial" w:cs="Arial" w:eastAsia="Arial" w:hAnsi="Arial"/>
                <w:b/>
                <w:bCs/>
                <w:color w:val="B45309"/>
                <w:sz w:val="15"/>
                <w:szCs w:val="15"/>
              </w:rPr>
              <w:t xml:space="preserve">16/25 HIGH</w:t>
            </w:r>
          </w:p>
        </w:tc>
        <w:tc>
          <w:tcPr>
            <w:tcW w:type="auto" w:w="200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pPr>
              <w:spacing w:after="30"/>
            </w:pPr>
            <w:r>
              <w:rPr>
                <w:rFonts w:ascii="Georgia" w:cs="Georgia" w:eastAsia="Georgia" w:hAnsi="Georgia"/>
                <w:color w:val="1B3A5C"/>
                <w:sz w:val="15"/>
                <w:szCs w:val="15"/>
              </w:rPr>
              <w:t xml:space="preserve">• 8.28 Secure coding (dependency scanning)</w:t>
            </w:r>
          </w:p>
          <w:p>
            <w:pPr>
              <w:spacing w:after="30"/>
            </w:pPr>
            <w:r>
              <w:rPr>
                <w:rFonts w:ascii="Georgia" w:cs="Georgia" w:eastAsia="Georgia" w:hAnsi="Georgia"/>
                <w:color w:val="1B3A5C"/>
                <w:sz w:val="15"/>
                <w:szCs w:val="15"/>
              </w:rPr>
              <w:t xml:space="preserve">• 8.8 Vulnerability management</w:t>
            </w:r>
          </w:p>
          <w:p>
            <w:pPr>
              <w:spacing w:after="30"/>
            </w:pPr>
            <w:r>
              <w:rPr>
                <w:rFonts w:ascii="Georgia" w:cs="Georgia" w:eastAsia="Georgia" w:hAnsi="Georgia"/>
                <w:color w:val="1B3A5C"/>
                <w:sz w:val="15"/>
                <w:szCs w:val="15"/>
              </w:rPr>
              <w:t xml:space="preserve">• 5.21 ICT supply chain management</w:t>
            </w:r>
          </w:p>
          <w:p>
            <w:pPr>
              <w:spacing w:after="30"/>
            </w:pPr>
            <w:r>
              <w:rPr>
                <w:rFonts w:ascii="Georgia" w:cs="Georgia" w:eastAsia="Georgia" w:hAnsi="Georgia"/>
                <w:color w:val="1B3A5C"/>
                <w:sz w:val="15"/>
                <w:szCs w:val="15"/>
              </w:rPr>
              <w:t xml:space="preserve">• 8.29 Security testing</w:t>
            </w:r>
          </w:p>
          <w:p>
            <w:pPr>
              <w:spacing w:after="30"/>
            </w:pPr>
            <w:r>
              <w:rPr>
                <w:rFonts w:ascii="Georgia" w:cs="Georgia" w:eastAsia="Georgia" w:hAnsi="Georgia"/>
                <w:color w:val="1B3A5C"/>
                <w:sz w:val="15"/>
                <w:szCs w:val="15"/>
              </w:rPr>
              <w:t xml:space="preserve">• 8.32 Change management</w:t>
            </w:r>
          </w:p>
        </w:tc>
        <w:tc>
          <w:tcPr>
            <w:tcW w:type="auto" w:w="136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r>
              <w:rPr>
                <w:rFonts w:ascii="Georgia" w:cs="Georgia" w:eastAsia="Georgia" w:hAnsi="Georgia"/>
                <w:color w:val="111827"/>
                <w:sz w:val="14"/>
                <w:szCs w:val="14"/>
              </w:rPr>
              <w:t xml:space="preserve">8.28: Partial (SAST deployed; SCA/dependency scanning in roadmap)
8.8: Implemented
5.21: Partial (assessment template created, not applied to all suppliers)
8.29: Implemented (annual pentest)
8.32: Implemented</w:t>
            </w:r>
          </w:p>
        </w:tc>
        <w:tc>
          <w:tcPr>
            <w:tcW w:type="auto" w:w="680"/>
            <w:tcBorders>
              <w:top w:val="single" w:color="DBEAFE" w:sz="1"/>
              <w:left w:val="single" w:color="DBEAFE" w:sz="1"/>
              <w:bottom w:val="single" w:color="DBEAFE" w:sz="1"/>
              <w:right w:val="single" w:color="DBEAFE" w:sz="1"/>
            </w:tcBorders>
            <w:shd w:fill="FEF2F2" w:val="clear"/>
            <w:tcMar>
              <w:top w:type="dxa" w:w="90"/>
              <w:left w:type="dxa" w:w="70"/>
              <w:bottom w:type="dxa" w:w="90"/>
              <w:right w:type="dxa" w:w="70"/>
            </w:tcMar>
          </w:tcPr>
          <w:p>
            <w:pPr>
              <w:jc w:val="center"/>
            </w:pPr>
            <w:r>
              <w:rPr>
                <w:rFonts w:ascii="Arial" w:cs="Arial" w:eastAsia="Arial" w:hAnsi="Arial"/>
                <w:b/>
                <w:bCs/>
                <w:color w:val="991B1B"/>
                <w:sz w:val="14"/>
                <w:szCs w:val="14"/>
              </w:rPr>
              <w:t xml:space="preserve">12/25 HIGH</w:t>
            </w:r>
          </w:p>
        </w:tc>
        <w:tc>
          <w:tcPr>
            <w:tcW w:type="auto" w:w="12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Georgia" w:cs="Georgia" w:eastAsia="Georgia" w:hAnsi="Georgia"/>
                <w:i/>
                <w:iCs/>
                <w:color w:val="3730A3"/>
                <w:sz w:val="14"/>
                <w:szCs w:val="14"/>
              </w:rPr>
              <w:t xml:space="preserve">CTO
Conditionally — pending full SCA deployment (TRP-015, target Q2 2026)</w:t>
            </w:r>
          </w:p>
        </w:tc>
        <w:tc>
          <w:tcPr>
            <w:tcW w:type="auto" w:w="800"/>
            <w:tcBorders>
              <w:top w:val="single" w:color="DBEAFE" w:sz="1"/>
              <w:left w:val="single" w:color="DBEAFE" w:sz="1"/>
              <w:bottom w:val="single" w:color="DBEAFE" w:sz="1"/>
              <w:right w:val="single" w:color="DBEAFE" w:sz="1"/>
            </w:tcBorders>
            <w:shd w:fill="EBF2FB" w:val="clear"/>
            <w:tcMar>
              <w:top w:type="dxa" w:w="90"/>
              <w:left w:type="dxa" w:w="70"/>
              <w:bottom w:type="dxa" w:w="90"/>
              <w:right w:type="dxa" w:w="70"/>
            </w:tcMar>
          </w:tcPr>
          <w:p>
            <w:r>
              <w:rPr>
                <w:rFonts w:ascii="Georgia" w:cs="Georgia" w:eastAsia="Georgia" w:hAnsi="Georgia"/>
                <w:i/>
                <w:iCs/>
                <w:color w:val="1B3A5C"/>
                <w:sz w:val="13"/>
                <w:szCs w:val="13"/>
              </w:rPr>
              <w:t xml:space="preserve">BSSN supply chain security guidelines; POJK software security requirements</w:t>
            </w:r>
          </w:p>
        </w:tc>
      </w:tr>
      <w:tr>
        <w:tc>
          <w:tcPr>
            <w:tcW w:type="auto" w:w="560"/>
            <w:tcBorders>
              <w:top w:val="single" w:color="DBEAFE" w:sz="1"/>
              <w:left w:val="single" w:color="DBEAFE" w:sz="1"/>
              <w:bottom w:val="single" w:color="DBEAFE" w:sz="1"/>
              <w:right w:val="single" w:color="DBEAFE" w:sz="1"/>
            </w:tcBorders>
            <w:shd w:fill="0F766E" w:val="clear"/>
            <w:tcMar>
              <w:top w:type="dxa" w:w="90"/>
              <w:left w:type="dxa" w:w="80"/>
              <w:bottom w:type="dxa" w:w="90"/>
              <w:right w:type="dxa" w:w="80"/>
            </w:tcMar>
            <w:vAlign w:val="center"/>
          </w:tcPr>
          <w:p>
            <w:pPr>
              <w:jc w:val="center"/>
            </w:pPr>
            <w:r>
              <w:rPr>
                <w:rFonts w:ascii="Arial" w:cs="Arial" w:eastAsia="Arial" w:hAnsi="Arial"/>
                <w:b/>
                <w:bCs/>
                <w:color w:val="FFFFFF"/>
                <w:sz w:val="16"/>
                <w:szCs w:val="16"/>
              </w:rPr>
              <w:t xml:space="preserve">R-019</w:t>
            </w:r>
          </w:p>
        </w:tc>
        <w:tc>
          <w:tcPr>
            <w:tcW w:type="auto" w:w="2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Personal data breach through loss of unencrypted laptop containing customer records</w:t>
            </w:r>
          </w:p>
        </w:tc>
        <w:tc>
          <w:tcPr>
            <w:tcW w:type="auto" w:w="760"/>
            <w:tcBorders>
              <w:top w:val="single" w:color="DBEAFE" w:sz="1"/>
              <w:left w:val="single" w:color="DBEAFE" w:sz="1"/>
              <w:bottom w:val="single" w:color="DBEAFE" w:sz="1"/>
              <w:right w:val="single" w:color="DBEAFE" w:sz="1"/>
            </w:tcBorders>
            <w:shd w:fill="F0FDFA" w:val="clear"/>
            <w:tcMar>
              <w:top w:type="dxa" w:w="90"/>
              <w:left w:type="dxa" w:w="70"/>
              <w:bottom w:type="dxa" w:w="90"/>
              <w:right w:type="dxa" w:w="70"/>
            </w:tcMar>
          </w:tcPr>
          <w:p>
            <w:pPr>
              <w:jc w:val="center"/>
            </w:pPr>
            <w:r>
              <w:rPr>
                <w:rFonts w:ascii="Arial" w:cs="Arial" w:eastAsia="Arial" w:hAnsi="Arial"/>
                <w:b/>
                <w:bCs/>
                <w:color w:val="0F766E"/>
                <w:sz w:val="15"/>
                <w:szCs w:val="15"/>
              </w:rPr>
              <w:t xml:space="preserve">15/25 HIGH</w:t>
            </w:r>
          </w:p>
        </w:tc>
        <w:tc>
          <w:tcPr>
            <w:tcW w:type="auto" w:w="200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pPr>
              <w:spacing w:after="30"/>
            </w:pPr>
            <w:r>
              <w:rPr>
                <w:rFonts w:ascii="Georgia" w:cs="Georgia" w:eastAsia="Georgia" w:hAnsi="Georgia"/>
                <w:color w:val="1B3A5C"/>
                <w:sz w:val="15"/>
                <w:szCs w:val="15"/>
              </w:rPr>
              <w:t xml:space="preserve">• 7.9 Security of assets off-premises (encryption)</w:t>
            </w:r>
          </w:p>
          <w:p>
            <w:pPr>
              <w:spacing w:after="30"/>
            </w:pPr>
            <w:r>
              <w:rPr>
                <w:rFonts w:ascii="Georgia" w:cs="Georgia" w:eastAsia="Georgia" w:hAnsi="Georgia"/>
                <w:color w:val="1B3A5C"/>
                <w:sz w:val="15"/>
                <w:szCs w:val="15"/>
              </w:rPr>
              <w:t xml:space="preserve">• 8.1 User endpoint devices (MDM, FDE)</w:t>
            </w:r>
          </w:p>
          <w:p>
            <w:pPr>
              <w:spacing w:after="30"/>
            </w:pPr>
            <w:r>
              <w:rPr>
                <w:rFonts w:ascii="Georgia" w:cs="Georgia" w:eastAsia="Georgia" w:hAnsi="Georgia"/>
                <w:color w:val="1B3A5C"/>
                <w:sz w:val="15"/>
                <w:szCs w:val="15"/>
              </w:rPr>
              <w:t xml:space="preserve">• 5.12 Classification</w:t>
            </w:r>
          </w:p>
          <w:p>
            <w:pPr>
              <w:spacing w:after="30"/>
            </w:pPr>
            <w:r>
              <w:rPr>
                <w:rFonts w:ascii="Georgia" w:cs="Georgia" w:eastAsia="Georgia" w:hAnsi="Georgia"/>
                <w:color w:val="1B3A5C"/>
                <w:sz w:val="15"/>
                <w:szCs w:val="15"/>
              </w:rPr>
              <w:t xml:space="preserve">• 6.7 Remote working policy</w:t>
            </w:r>
          </w:p>
          <w:p>
            <w:pPr>
              <w:spacing w:after="30"/>
            </w:pPr>
            <w:r>
              <w:rPr>
                <w:rFonts w:ascii="Georgia" w:cs="Georgia" w:eastAsia="Georgia" w:hAnsi="Georgia"/>
                <w:color w:val="1B3A5C"/>
                <w:sz w:val="15"/>
                <w:szCs w:val="15"/>
              </w:rPr>
              <w:t xml:space="preserve">• 5.26 Incident response (loss reporting)</w:t>
            </w:r>
          </w:p>
        </w:tc>
        <w:tc>
          <w:tcPr>
            <w:tcW w:type="auto" w:w="136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r>
              <w:rPr>
                <w:rFonts w:ascii="Georgia" w:cs="Georgia" w:eastAsia="Georgia" w:hAnsi="Georgia"/>
                <w:color w:val="111827"/>
                <w:sz w:val="14"/>
                <w:szCs w:val="14"/>
              </w:rPr>
              <w:t xml:space="preserve">7.9/8.1: Implemented — BitLocker enforced via MDM for 100% of corporate laptops
5.12: Implemented
6.7: Implemented
5.26: Implemented</w:t>
            </w:r>
          </w:p>
        </w:tc>
        <w:tc>
          <w:tcPr>
            <w:tcW w:type="auto" w:w="680"/>
            <w:tcBorders>
              <w:top w:val="single" w:color="DBEAFE" w:sz="1"/>
              <w:left w:val="single" w:color="DBEAFE" w:sz="1"/>
              <w:bottom w:val="single" w:color="DBEAFE" w:sz="1"/>
              <w:right w:val="single" w:color="DBEAFE" w:sz="1"/>
            </w:tcBorders>
            <w:shd w:fill="ECFDF5" w:val="clear"/>
            <w:tcMar>
              <w:top w:type="dxa" w:w="90"/>
              <w:left w:type="dxa" w:w="70"/>
              <w:bottom w:type="dxa" w:w="90"/>
              <w:right w:type="dxa" w:w="70"/>
            </w:tcMar>
          </w:tcPr>
          <w:p>
            <w:pPr>
              <w:jc w:val="center"/>
            </w:pPr>
            <w:r>
              <w:rPr>
                <w:rFonts w:ascii="Arial" w:cs="Arial" w:eastAsia="Arial" w:hAnsi="Arial"/>
                <w:b/>
                <w:bCs/>
                <w:color w:val="065F46"/>
                <w:sz w:val="14"/>
                <w:szCs w:val="14"/>
              </w:rPr>
              <w:t xml:space="preserve">4/25 LOW</w:t>
            </w:r>
          </w:p>
        </w:tc>
        <w:tc>
          <w:tcPr>
            <w:tcW w:type="auto" w:w="12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Georgia" w:cs="Georgia" w:eastAsia="Georgia" w:hAnsi="Georgia"/>
                <w:i/>
                <w:iCs/>
                <w:color w:val="3730A3"/>
                <w:sz w:val="14"/>
                <w:szCs w:val="14"/>
              </w:rPr>
              <w:t xml:space="preserve">CISO
Yes — CISO signed 10 Feb 2026</w:t>
            </w:r>
          </w:p>
        </w:tc>
        <w:tc>
          <w:tcPr>
            <w:tcW w:type="auto" w:w="800"/>
            <w:tcBorders>
              <w:top w:val="single" w:color="DBEAFE" w:sz="1"/>
              <w:left w:val="single" w:color="DBEAFE" w:sz="1"/>
              <w:bottom w:val="single" w:color="DBEAFE" w:sz="1"/>
              <w:right w:val="single" w:color="DBEAFE" w:sz="1"/>
            </w:tcBorders>
            <w:shd w:fill="EBF2FB" w:val="clear"/>
            <w:tcMar>
              <w:top w:type="dxa" w:w="90"/>
              <w:left w:type="dxa" w:w="70"/>
              <w:bottom w:type="dxa" w:w="90"/>
              <w:right w:type="dxa" w:w="70"/>
            </w:tcMar>
          </w:tcPr>
          <w:p>
            <w:r>
              <w:rPr>
                <w:rFonts w:ascii="Georgia" w:cs="Georgia" w:eastAsia="Georgia" w:hAnsi="Georgia"/>
                <w:i/>
                <w:iCs/>
                <w:color w:val="1B3A5C"/>
                <w:sz w:val="13"/>
                <w:szCs w:val="13"/>
              </w:rPr>
              <w:t xml:space="preserve">UU PDP Article 35; UU PDP Article 46 (breach notification if encryption key also compromised)</w:t>
            </w:r>
          </w:p>
        </w:tc>
      </w:tr>
      <w:tr>
        <w:tc>
          <w:tcPr>
            <w:tcW w:type="auto" w:w="560"/>
            <w:tcBorders>
              <w:top w:val="single" w:color="DBEAFE" w:sz="1"/>
              <w:left w:val="single" w:color="DBEAFE" w:sz="1"/>
              <w:bottom w:val="single" w:color="DBEAFE" w:sz="1"/>
              <w:right w:val="single" w:color="DBEAFE" w:sz="1"/>
            </w:tcBorders>
            <w:shd w:fill="6D28D9" w:val="clear"/>
            <w:tcMar>
              <w:top w:type="dxa" w:w="90"/>
              <w:left w:type="dxa" w:w="80"/>
              <w:bottom w:type="dxa" w:w="90"/>
              <w:right w:type="dxa" w:w="80"/>
            </w:tcMar>
            <w:vAlign w:val="center"/>
          </w:tcPr>
          <w:p>
            <w:pPr>
              <w:jc w:val="center"/>
            </w:pPr>
            <w:r>
              <w:rPr>
                <w:rFonts w:ascii="Arial" w:cs="Arial" w:eastAsia="Arial" w:hAnsi="Arial"/>
                <w:b/>
                <w:bCs/>
                <w:color w:val="FFFFFF"/>
                <w:sz w:val="16"/>
                <w:szCs w:val="16"/>
              </w:rPr>
              <w:t xml:space="preserve">R-023</w:t>
            </w:r>
          </w:p>
        </w:tc>
        <w:tc>
          <w:tcPr>
            <w:tcW w:type="auto" w:w="2000"/>
            <w:tcBorders>
              <w:top w:val="single" w:color="DBEAFE" w:sz="1"/>
              <w:left w:val="single" w:color="DBEAFE" w:sz="1"/>
              <w:bottom w:val="single" w:color="DBEAFE" w:sz="1"/>
              <w:right w:val="single" w:color="DBEAFE" w:sz="1"/>
            </w:tcBorders>
            <w:shd w:fill="F3F4F6" w:val="clear"/>
            <w:tcMar>
              <w:top w:type="dxa" w:w="90"/>
              <w:left w:type="dxa" w:w="90"/>
              <w:bottom w:type="dxa" w:w="90"/>
              <w:right w:type="dxa" w:w="90"/>
            </w:tcMar>
          </w:tcPr>
          <w:p>
            <w:r>
              <w:rPr>
                <w:rFonts w:ascii="Georgia" w:cs="Georgia" w:eastAsia="Georgia" w:hAnsi="Georgia"/>
                <w:color w:val="111827"/>
                <w:sz w:val="16"/>
                <w:szCs w:val="16"/>
              </w:rPr>
              <w:t xml:space="preserve">Ransomware attack encrypting production systems via phishing + lateral movement</w:t>
            </w:r>
          </w:p>
        </w:tc>
        <w:tc>
          <w:tcPr>
            <w:tcW w:type="auto" w:w="760"/>
            <w:tcBorders>
              <w:top w:val="single" w:color="DBEAFE" w:sz="1"/>
              <w:left w:val="single" w:color="DBEAFE" w:sz="1"/>
              <w:bottom w:val="single" w:color="DBEAFE" w:sz="1"/>
              <w:right w:val="single" w:color="DBEAFE" w:sz="1"/>
            </w:tcBorders>
            <w:shd w:fill="F5F3FF" w:val="clear"/>
            <w:tcMar>
              <w:top w:type="dxa" w:w="90"/>
              <w:left w:type="dxa" w:w="70"/>
              <w:bottom w:type="dxa" w:w="90"/>
              <w:right w:type="dxa" w:w="70"/>
            </w:tcMar>
          </w:tcPr>
          <w:p>
            <w:pPr>
              <w:jc w:val="center"/>
            </w:pPr>
            <w:r>
              <w:rPr>
                <w:rFonts w:ascii="Arial" w:cs="Arial" w:eastAsia="Arial" w:hAnsi="Arial"/>
                <w:b/>
                <w:bCs/>
                <w:color w:val="6D28D9"/>
                <w:sz w:val="15"/>
                <w:szCs w:val="15"/>
              </w:rPr>
              <w:t xml:space="preserve">18/25 CRITICAL</w:t>
            </w:r>
          </w:p>
        </w:tc>
        <w:tc>
          <w:tcPr>
            <w:tcW w:type="auto" w:w="2000"/>
            <w:tcBorders>
              <w:top w:val="single" w:color="DBEAFE" w:sz="1"/>
              <w:left w:val="single" w:color="DBEAFE" w:sz="1"/>
              <w:bottom w:val="single" w:color="DBEAFE" w:sz="1"/>
              <w:right w:val="single" w:color="DBEAFE" w:sz="1"/>
            </w:tcBorders>
            <w:shd w:fill="FFFFFF" w:val="clear"/>
            <w:tcMar>
              <w:top w:type="dxa" w:w="90"/>
              <w:left w:type="dxa" w:w="90"/>
              <w:bottom w:type="dxa" w:w="90"/>
              <w:right w:type="dxa" w:w="90"/>
            </w:tcMar>
          </w:tcPr>
          <w:p>
            <w:pPr>
              <w:spacing w:after="30"/>
            </w:pPr>
            <w:r>
              <w:rPr>
                <w:rFonts w:ascii="Georgia" w:cs="Georgia" w:eastAsia="Georgia" w:hAnsi="Georgia"/>
                <w:color w:val="1B3A5C"/>
                <w:sz w:val="15"/>
                <w:szCs w:val="15"/>
              </w:rPr>
              <w:t xml:space="preserve">• 8.7 Anti-malware</w:t>
            </w:r>
          </w:p>
          <w:p>
            <w:pPr>
              <w:spacing w:after="30"/>
            </w:pPr>
            <w:r>
              <w:rPr>
                <w:rFonts w:ascii="Georgia" w:cs="Georgia" w:eastAsia="Georgia" w:hAnsi="Georgia"/>
                <w:color w:val="1B3A5C"/>
                <w:sz w:val="15"/>
                <w:szCs w:val="15"/>
              </w:rPr>
              <w:t xml:space="preserve">• 8.8 Vulnerability management</w:t>
            </w:r>
          </w:p>
          <w:p>
            <w:pPr>
              <w:spacing w:after="30"/>
            </w:pPr>
            <w:r>
              <w:rPr>
                <w:rFonts w:ascii="Georgia" w:cs="Georgia" w:eastAsia="Georgia" w:hAnsi="Georgia"/>
                <w:color w:val="1B3A5C"/>
                <w:sz w:val="15"/>
                <w:szCs w:val="15"/>
              </w:rPr>
              <w:t xml:space="preserve">• 8.22 Network segmentation</w:t>
            </w:r>
          </w:p>
          <w:p>
            <w:pPr>
              <w:spacing w:after="30"/>
            </w:pPr>
            <w:r>
              <w:rPr>
                <w:rFonts w:ascii="Georgia" w:cs="Georgia" w:eastAsia="Georgia" w:hAnsi="Georgia"/>
                <w:color w:val="1B3A5C"/>
                <w:sz w:val="15"/>
                <w:szCs w:val="15"/>
              </w:rPr>
              <w:t xml:space="preserve">• 8.13 Backup (immutable)</w:t>
            </w:r>
          </w:p>
          <w:p>
            <w:pPr>
              <w:spacing w:after="30"/>
            </w:pPr>
            <w:r>
              <w:rPr>
                <w:rFonts w:ascii="Georgia" w:cs="Georgia" w:eastAsia="Georgia" w:hAnsi="Georgia"/>
                <w:color w:val="1B3A5C"/>
                <w:sz w:val="15"/>
                <w:szCs w:val="15"/>
              </w:rPr>
              <w:t xml:space="preserve">• 5.26 Incident response</w:t>
            </w:r>
          </w:p>
          <w:p>
            <w:pPr>
              <w:spacing w:after="30"/>
            </w:pPr>
            <w:r>
              <w:rPr>
                <w:rFonts w:ascii="Georgia" w:cs="Georgia" w:eastAsia="Georgia" w:hAnsi="Georgia"/>
                <w:color w:val="1B3A5C"/>
                <w:sz w:val="15"/>
                <w:szCs w:val="15"/>
              </w:rPr>
              <w:t xml:space="preserve">• 6.3 Phishing awareness</w:t>
            </w:r>
          </w:p>
          <w:p>
            <w:pPr>
              <w:spacing w:after="30"/>
            </w:pPr>
            <w:r>
              <w:rPr>
                <w:rFonts w:ascii="Georgia" w:cs="Georgia" w:eastAsia="Georgia" w:hAnsi="Georgia"/>
                <w:color w:val="1B3A5C"/>
                <w:sz w:val="15"/>
                <w:szCs w:val="15"/>
              </w:rPr>
              <w:t xml:space="preserve">• 8.16 Monitoring (lateral movement detection)</w:t>
            </w:r>
          </w:p>
        </w:tc>
        <w:tc>
          <w:tcPr>
            <w:tcW w:type="auto" w:w="1360"/>
            <w:tcBorders>
              <w:top w:val="single" w:color="DBEAFE" w:sz="1"/>
              <w:left w:val="single" w:color="DBEAFE" w:sz="1"/>
              <w:bottom w:val="single" w:color="DBEAFE" w:sz="1"/>
              <w:right w:val="single" w:color="DBEAFE" w:sz="1"/>
            </w:tcBorders>
            <w:shd w:fill="F3F4F6" w:val="clear"/>
            <w:tcMar>
              <w:top w:type="dxa" w:w="90"/>
              <w:left w:type="dxa" w:w="80"/>
              <w:bottom w:type="dxa" w:w="90"/>
              <w:right w:type="dxa" w:w="80"/>
            </w:tcMar>
          </w:tcPr>
          <w:p>
            <w:r>
              <w:rPr>
                <w:rFonts w:ascii="Georgia" w:cs="Georgia" w:eastAsia="Georgia" w:hAnsi="Georgia"/>
                <w:color w:val="111827"/>
                <w:sz w:val="14"/>
                <w:szCs w:val="14"/>
              </w:rPr>
              <w:t xml:space="preserve">8.7: Implemented
8.8: Implemented
8.22: Partial (segmentation partial — production isolated, dev/test not yet)
8.13: Implemented (daily backup, offsite, tested quarterly)
5.26: Implemented
6.3: Implemented
8.16: Partial (SIEM deployed, lateral movement rules being tuned)</w:t>
            </w:r>
          </w:p>
        </w:tc>
        <w:tc>
          <w:tcPr>
            <w:tcW w:type="auto" w:w="680"/>
            <w:tcBorders>
              <w:top w:val="single" w:color="DBEAFE" w:sz="1"/>
              <w:left w:val="single" w:color="DBEAFE" w:sz="1"/>
              <w:bottom w:val="single" w:color="DBEAFE" w:sz="1"/>
              <w:right w:val="single" w:color="DBEAFE" w:sz="1"/>
            </w:tcBorders>
            <w:shd w:fill="FEF2F2" w:val="clear"/>
            <w:tcMar>
              <w:top w:type="dxa" w:w="90"/>
              <w:left w:type="dxa" w:w="70"/>
              <w:bottom w:type="dxa" w:w="90"/>
              <w:right w:type="dxa" w:w="70"/>
            </w:tcMar>
          </w:tcPr>
          <w:p>
            <w:pPr>
              <w:jc w:val="center"/>
            </w:pPr>
            <w:r>
              <w:rPr>
                <w:rFonts w:ascii="Arial" w:cs="Arial" w:eastAsia="Arial" w:hAnsi="Arial"/>
                <w:b/>
                <w:bCs/>
                <w:color w:val="991B1B"/>
                <w:sz w:val="14"/>
                <w:szCs w:val="14"/>
              </w:rPr>
              <w:t xml:space="preserve">12/25 HIGH</w:t>
            </w:r>
          </w:p>
        </w:tc>
        <w:tc>
          <w:tcPr>
            <w:tcW w:type="auto" w:w="1200"/>
            <w:tcBorders>
              <w:top w:val="single" w:color="DBEAFE" w:sz="1"/>
              <w:left w:val="single" w:color="DBEAFE" w:sz="1"/>
              <w:bottom w:val="single" w:color="DBEAFE" w:sz="1"/>
              <w:right w:val="single" w:color="DBEAFE" w:sz="1"/>
            </w:tcBorders>
            <w:shd w:fill="EEF2FF" w:val="clear"/>
            <w:tcMar>
              <w:top w:type="dxa" w:w="90"/>
              <w:left w:type="dxa" w:w="80"/>
              <w:bottom w:type="dxa" w:w="90"/>
              <w:right w:type="dxa" w:w="80"/>
            </w:tcMar>
          </w:tcPr>
          <w:p>
            <w:r>
              <w:rPr>
                <w:rFonts w:ascii="Georgia" w:cs="Georgia" w:eastAsia="Georgia" w:hAnsi="Georgia"/>
                <w:i/>
                <w:iCs/>
                <w:color w:val="3730A3"/>
                <w:sz w:val="14"/>
                <w:szCs w:val="14"/>
              </w:rPr>
              <w:t xml:space="preserve">CTO
Conditionally — pending network segmentation completion (TRP-018)</w:t>
            </w:r>
          </w:p>
        </w:tc>
        <w:tc>
          <w:tcPr>
            <w:tcW w:type="auto" w:w="800"/>
            <w:tcBorders>
              <w:top w:val="single" w:color="DBEAFE" w:sz="1"/>
              <w:left w:val="single" w:color="DBEAFE" w:sz="1"/>
              <w:bottom w:val="single" w:color="DBEAFE" w:sz="1"/>
              <w:right w:val="single" w:color="DBEAFE" w:sz="1"/>
            </w:tcBorders>
            <w:shd w:fill="EBF2FB" w:val="clear"/>
            <w:tcMar>
              <w:top w:type="dxa" w:w="90"/>
              <w:left w:type="dxa" w:w="70"/>
              <w:bottom w:type="dxa" w:w="90"/>
              <w:right w:type="dxa" w:w="70"/>
            </w:tcMar>
          </w:tcPr>
          <w:p>
            <w:r>
              <w:rPr>
                <w:rFonts w:ascii="Georgia" w:cs="Georgia" w:eastAsia="Georgia" w:hAnsi="Georgia"/>
                <w:i/>
                <w:iCs/>
                <w:color w:val="1B3A5C"/>
                <w:sz w:val="13"/>
                <w:szCs w:val="13"/>
              </w:rPr>
              <w:t xml:space="preserve">BSSN ransomware response guidelines; POJK BCM requirements; OJK IT resilience standards</w:t>
            </w:r>
          </w:p>
        </w:tc>
      </w:tr>
    </w:tbl>
    <w:p>
      <w:pPr>
        <w:spacing w:after="160"/>
      </w:pPr>
      <w:r>
        <w:t xml:space="preserve"/>
      </w:r>
    </w:p>
    <w:p>
      <w:pPr>
        <w:spacing w:after="160" w:line="320"/>
        <w:jc w:val="both"/>
      </w:pPr>
      <w:r>
        <w:rPr>
          <w:rFonts w:ascii="Georgia" w:cs="Georgia" w:eastAsia="Georgia" w:hAnsi="Georgia"/>
          <w:color w:val="111827"/>
          <w:sz w:val="22"/>
          <w:szCs w:val="22"/>
        </w:rPr>
        <w:t xml:space="preserve">Several features of this worked example are worth noting specifically. Risk R-003 (data exfiltration) shows a 'Partially' accepted status because one of the controls (8.12 DLP) is not fully deployed — honest partial acceptance is the correct response to a partially treated risk. Risk R-012 (supply chain attack) shows CRITICAL controls in partial status with active treatment plan items — this is what a mature risk treatment plan looks like in practice. Risk R-019 (laptop data breach) shows a LOW residual score because full disk encryption reduces the impact of a lost device to near-zero, demonstrating effective risk reduction through a focused technical control.</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Building the Matrix: Eight Steps</w:t>
      </w:r>
    </w:p>
    <w:p>
      <w:pPr>
        <w:spacing w:after="80"/>
      </w:pPr>
      <w:r>
        <w:t xml:space="preserve"/>
      </w:r>
    </w:p>
    <w:p>
      <w:pPr>
        <w:spacing w:after="160" w:line="320"/>
        <w:jc w:val="both"/>
      </w:pPr>
      <w:r>
        <w:rPr>
          <w:rFonts w:ascii="Georgia" w:cs="Georgia" w:eastAsia="Georgia" w:hAnsi="Georgia"/>
          <w:color w:val="111827"/>
          <w:sz w:val="22"/>
          <w:szCs w:val="22"/>
        </w:rPr>
        <w:t xml:space="preserve">The matrix is built in eight sequential steps — each building on the previous. Steps 1–3 establish the risk-control connections. Steps 4–6 add the assessment and acceptance layer. Steps 7–8 add the compliance and evidence layer that transforms it from an audit tool into a management system artifact: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760"/>
        <w:gridCol w:w="5360"/>
        <w:gridCol w:w="1760"/>
      </w:tblGrid>
      <w:tr>
        <w:tc>
          <w:tcPr>
            <w:tcW w:type="dxa" w:w="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t>
            </w:r>
          </w:p>
        </w:tc>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Step</w:t>
            </w:r>
          </w:p>
        </w:tc>
        <w:tc>
          <w:tcPr>
            <w:tcW w:type="dxa" w:w="53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it involves</w:t>
            </w:r>
          </w:p>
        </w:tc>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Output</w:t>
            </w:r>
          </w:p>
        </w:tc>
      </w:tr>
      <w:tr>
        <w:tc>
          <w:tcPr>
            <w:tcW w:type="auto" w:w="480"/>
            <w:tcBorders>
              <w:top w:val="single" w:color="DBEAFE" w:sz="1"/>
              <w:left w:val="single" w:color="DBEAFE" w:sz="1"/>
              <w:bottom w:val="single" w:color="DBEAFE" w:sz="1"/>
              <w:right w:val="single" w:color="DBEAFE" w:sz="1"/>
            </w:tcBorders>
            <w:shd w:fill="1B3A5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01</w:t>
            </w:r>
          </w:p>
        </w:tc>
        <w:tc>
          <w:tcPr>
            <w:tcW w:type="auto"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Anchor to the risk register</w:t>
            </w:r>
          </w:p>
        </w:tc>
        <w:tc>
          <w:tcPr>
            <w:tcW w:type="auto" w:w="5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pPr>
              <w:spacing w:after="50"/>
            </w:pPr>
            <w:r>
              <w:rPr>
                <w:rFonts w:ascii="Georgia" w:cs="Georgia" w:eastAsia="Georgia" w:hAnsi="Georgia"/>
                <w:color w:val="111827"/>
                <w:sz w:val="19"/>
                <w:szCs w:val="19"/>
              </w:rPr>
              <w:t xml:space="preserve">Start with the risk register — every row in the traceability matrix begins with a risk ID from the register. The matrix does not invent risks; it traces what has already been identified and assessed.</w:t>
            </w:r>
          </w:p>
          <w:p>
            <w:r>
              <w:rPr>
                <w:rFonts w:ascii="Arial" w:cs="Arial" w:eastAsia="Arial" w:hAnsi="Arial"/>
                <w:b/>
                <w:bCs/>
                <w:color w:val="0F766E"/>
                <w:sz w:val="17"/>
                <w:szCs w:val="17"/>
              </w:rPr>
              <w:t xml:space="preserve">Action: </w:t>
            </w:r>
            <w:r>
              <w:rPr>
                <w:rFonts w:ascii="Georgia" w:cs="Georgia" w:eastAsia="Georgia" w:hAnsi="Georgia"/>
                <w:color w:val="111827"/>
                <w:sz w:val="17"/>
                <w:szCs w:val="17"/>
              </w:rPr>
              <w:t xml:space="preserve">Export all risks rated HIGH (12+/25) or CRITICAL (20+/25) from the risk register. These are your priority rows. Lower-risk items can be added progressively but the HIGH/CRITICAL risks must all be in the matrix before Stage 1.</w:t>
            </w:r>
          </w:p>
        </w:tc>
        <w:tc>
          <w:tcPr>
            <w:tcW w:type="auto" w:w="176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A list of all HIGH and CRITICAL risks with their IDs, descriptions, and inherent scores — ready to be the first two columns of the matrix.</w:t>
            </w:r>
          </w:p>
        </w:tc>
      </w:tr>
      <w:tr>
        <w:tc>
          <w:tcPr>
            <w:tcW w:type="auto" w:w="480"/>
            <w:tcBorders>
              <w:top w:val="single" w:color="DBEAFE" w:sz="1"/>
              <w:left w:val="single" w:color="DBEAFE" w:sz="1"/>
              <w:bottom w:val="single" w:color="DBEAFE" w:sz="1"/>
              <w:right w:val="single" w:color="DBEAFE" w:sz="1"/>
            </w:tcBorders>
            <w:shd w:fill="2563A8"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02</w:t>
            </w:r>
          </w:p>
        </w:tc>
        <w:tc>
          <w:tcPr>
            <w:tcW w:type="auto"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Map controls to each risk</w:t>
            </w:r>
          </w:p>
        </w:tc>
        <w:tc>
          <w:tcPr>
            <w:tcW w:type="auto" w:w="5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pPr>
              <w:spacing w:after="50"/>
            </w:pPr>
            <w:r>
              <w:rPr>
                <w:rFonts w:ascii="Georgia" w:cs="Georgia" w:eastAsia="Georgia" w:hAnsi="Georgia"/>
                <w:color w:val="111827"/>
                <w:sz w:val="19"/>
                <w:szCs w:val="19"/>
              </w:rPr>
              <w:t xml:space="preserve">For each risk, identify which Annex A controls directly treat it. Use the ISO 27002 'Purpose' statement for each control to guide the mapping — the purpose statement explains what risk the control is designed to address.</w:t>
            </w:r>
          </w:p>
          <w:p>
            <w:r>
              <w:rPr>
                <w:rFonts w:ascii="Arial" w:cs="Arial" w:eastAsia="Arial" w:hAnsi="Arial"/>
                <w:b/>
                <w:bCs/>
                <w:color w:val="0F766E"/>
                <w:sz w:val="17"/>
                <w:szCs w:val="17"/>
              </w:rPr>
              <w:t xml:space="preserve">Action: </w:t>
            </w:r>
            <w:r>
              <w:rPr>
                <w:rFonts w:ascii="Georgia" w:cs="Georgia" w:eastAsia="Georgia" w:hAnsi="Georgia"/>
                <w:color w:val="111827"/>
                <w:sz w:val="17"/>
                <w:szCs w:val="17"/>
              </w:rPr>
              <w:t xml:space="preserve">For each risk row: review the control statements and purpose descriptions for each Annex A domain. Map the controls that directly reduce the likelihood or impact of the specific risk. Be specific: 'A.8.5 reduces the likelihood of unauthorized access to payment accounts by requiring MFA' is a valid mapping. 'A.5.1 policies generally support security' is not.</w:t>
            </w:r>
          </w:p>
        </w:tc>
        <w:tc>
          <w:tcPr>
            <w:tcW w:type="auto" w:w="176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Control mappings per risk row — typically 2–6 controls per risk. Each control must have a specific rationale for why it treats this specific risk.</w:t>
            </w:r>
          </w:p>
        </w:tc>
      </w:tr>
      <w:tr>
        <w:tc>
          <w:tcPr>
            <w:tcW w:type="auto" w:w="48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03</w:t>
            </w:r>
          </w:p>
        </w:tc>
        <w:tc>
          <w:tcPr>
            <w:tcW w:type="auto"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Verify SoA consistency</w:t>
            </w:r>
          </w:p>
        </w:tc>
        <w:tc>
          <w:tcPr>
            <w:tcW w:type="auto" w:w="5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pPr>
              <w:spacing w:after="50"/>
            </w:pPr>
            <w:r>
              <w:rPr>
                <w:rFonts w:ascii="Georgia" w:cs="Georgia" w:eastAsia="Georgia" w:hAnsi="Georgia"/>
                <w:color w:val="111827"/>
                <w:sz w:val="19"/>
                <w:szCs w:val="19"/>
              </w:rPr>
              <w:t xml:space="preserve">For every control appearing in the matrix, it must be listed as 'Applicable' in the SoA. If a control appears in the traceability matrix but is excluded in the SoA, there is an internal inconsistency that will generate a Stage 1 finding.</w:t>
            </w:r>
          </w:p>
          <w:p>
            <w:r>
              <w:rPr>
                <w:rFonts w:ascii="Arial" w:cs="Arial" w:eastAsia="Arial" w:hAnsi="Arial"/>
                <w:b/>
                <w:bCs/>
                <w:color w:val="0F766E"/>
                <w:sz w:val="17"/>
                <w:szCs w:val="17"/>
              </w:rPr>
              <w:t xml:space="preserve">Action: </w:t>
            </w:r>
            <w:r>
              <w:rPr>
                <w:rFonts w:ascii="Georgia" w:cs="Georgia" w:eastAsia="Georgia" w:hAnsi="Georgia"/>
                <w:color w:val="111827"/>
                <w:sz w:val="17"/>
                <w:szCs w:val="17"/>
              </w:rPr>
              <w:t xml:space="preserve">Cross-check every control in the matrix against the SoA. If a control treats a HIGH/CRITICAL risk but is excluded from the SoA, the exclusion justification must be reconsidered — it is very difficult to justify excluding a control that directly treats a significant risk.</w:t>
            </w:r>
          </w:p>
        </w:tc>
        <w:tc>
          <w:tcPr>
            <w:tcW w:type="auto" w:w="176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Confirmed SoA consistency — every matrix control is marked Applicable in the SoA. Any exclusion of a control that appears in the matrix has a specific and documented justification.</w:t>
            </w:r>
          </w:p>
        </w:tc>
      </w:tr>
      <w:tr>
        <w:tc>
          <w:tcPr>
            <w:tcW w:type="auto" w:w="480"/>
            <w:tcBorders>
              <w:top w:val="single" w:color="DBEAFE" w:sz="1"/>
              <w:left w:val="single" w:color="DBEAFE" w:sz="1"/>
              <w:bottom w:val="single" w:color="DBEAFE" w:sz="1"/>
              <w:right w:val="single" w:color="DBEAFE" w:sz="1"/>
            </w:tcBorders>
            <w:shd w:fill="3730A3"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04</w:t>
            </w:r>
          </w:p>
        </w:tc>
        <w:tc>
          <w:tcPr>
            <w:tcW w:type="auto"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Record implementation status per control</w:t>
            </w:r>
          </w:p>
        </w:tc>
        <w:tc>
          <w:tcPr>
            <w:tcW w:type="auto" w:w="5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pPr>
              <w:spacing w:after="50"/>
            </w:pPr>
            <w:r>
              <w:rPr>
                <w:rFonts w:ascii="Georgia" w:cs="Georgia" w:eastAsia="Georgia" w:hAnsi="Georgia"/>
                <w:color w:val="111827"/>
                <w:sz w:val="19"/>
                <w:szCs w:val="19"/>
              </w:rPr>
              <w:t xml:space="preserve">For each control mapped to a risk, record its current implementation status: Implemented / Partial / Planned / Not started. Status must reflect reality at the time of the matrix update.</w:t>
            </w:r>
          </w:p>
          <w:p>
            <w:r>
              <w:rPr>
                <w:rFonts w:ascii="Arial" w:cs="Arial" w:eastAsia="Arial" w:hAnsi="Arial"/>
                <w:b/>
                <w:bCs/>
                <w:color w:val="0F766E"/>
                <w:sz w:val="17"/>
                <w:szCs w:val="17"/>
              </w:rPr>
              <w:t xml:space="preserve">Action: </w:t>
            </w:r>
            <w:r>
              <w:rPr>
                <w:rFonts w:ascii="Georgia" w:cs="Georgia" w:eastAsia="Georgia" w:hAnsi="Georgia"/>
                <w:color w:val="111827"/>
                <w:sz w:val="17"/>
                <w:szCs w:val="17"/>
              </w:rPr>
              <w:t xml:space="preserve">Use four status categories and their specific meanings: Implemented (evidence exists and is current), Partial (control exists but coverage is incomplete — e.g. MFA deployed for 80% of accounts), Planned (formally in the risk treatment plan with a target date and owner), Not started (identified in RTP but no action taken). 'Partial' must include a note on what is missing.</w:t>
            </w:r>
          </w:p>
        </w:tc>
        <w:tc>
          <w:tcPr>
            <w:tcW w:type="auto" w:w="176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Implementation status column completed per control per risk. Status is honest — not optimistic.</w:t>
            </w:r>
          </w:p>
        </w:tc>
      </w:tr>
      <w:tr>
        <w:tc>
          <w:tcPr>
            <w:tcW w:type="auto" w:w="480"/>
            <w:tcBorders>
              <w:top w:val="single" w:color="DBEAFE" w:sz="1"/>
              <w:left w:val="single" w:color="DBEAFE" w:sz="1"/>
              <w:bottom w:val="single" w:color="DBEAFE" w:sz="1"/>
              <w:right w:val="single" w:color="DBEAFE" w:sz="1"/>
            </w:tcBorders>
            <w:shd w:fill="6D28D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05</w:t>
            </w:r>
          </w:p>
        </w:tc>
        <w:tc>
          <w:tcPr>
            <w:tcW w:type="auto"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Calculate residual risk scores</w:t>
            </w:r>
          </w:p>
        </w:tc>
        <w:tc>
          <w:tcPr>
            <w:tcW w:type="auto" w:w="5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pPr>
              <w:spacing w:after="50"/>
            </w:pPr>
            <w:r>
              <w:rPr>
                <w:rFonts w:ascii="Georgia" w:cs="Georgia" w:eastAsia="Georgia" w:hAnsi="Georgia"/>
                <w:color w:val="111827"/>
                <w:sz w:val="19"/>
                <w:szCs w:val="19"/>
              </w:rPr>
              <w:t xml:space="preserve">For each risk, calculate the residual risk score — the score after controls are applied. Residual score is not mechanical (score minus a fixed reduction) — it requires judgment about how much each control actually reduces likelihood and impact given its current implementation status.</w:t>
            </w:r>
          </w:p>
          <w:p>
            <w:r>
              <w:rPr>
                <w:rFonts w:ascii="Arial" w:cs="Arial" w:eastAsia="Arial" w:hAnsi="Arial"/>
                <w:b/>
                <w:bCs/>
                <w:color w:val="0F766E"/>
                <w:sz w:val="17"/>
                <w:szCs w:val="17"/>
              </w:rPr>
              <w:t xml:space="preserve">Action: </w:t>
            </w:r>
            <w:r>
              <w:rPr>
                <w:rFonts w:ascii="Georgia" w:cs="Georgia" w:eastAsia="Georgia" w:hAnsi="Georgia"/>
                <w:color w:val="111827"/>
                <w:sz w:val="17"/>
                <w:szCs w:val="17"/>
              </w:rPr>
              <w:t xml:space="preserve">Apply the same L×I methodology as the risk assessment. For each risk: given the controls now in place and their implementation status, what is the realistic likelihood and impact if the threat now materializes? Document the reasoning. A control that is 'Partial' should not be given full credit in the residual calculation.</w:t>
            </w:r>
          </w:p>
        </w:tc>
        <w:tc>
          <w:tcPr>
            <w:tcW w:type="auto" w:w="176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Residual risk score per risk row. Residual score is lower than inherent score (if controls are effective) or remains high (if controls are partial or inadequate — which drives further treatment action).</w:t>
            </w:r>
          </w:p>
        </w:tc>
      </w:tr>
      <w:tr>
        <w:tc>
          <w:tcPr>
            <w:tcW w:type="auto"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06</w:t>
            </w:r>
          </w:p>
        </w:tc>
        <w:tc>
          <w:tcPr>
            <w:tcW w:type="auto"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Assign risk owners and record acceptance</w:t>
            </w:r>
          </w:p>
        </w:tc>
        <w:tc>
          <w:tcPr>
            <w:tcW w:type="auto" w:w="5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pPr>
              <w:spacing w:after="50"/>
            </w:pPr>
            <w:r>
              <w:rPr>
                <w:rFonts w:ascii="Georgia" w:cs="Georgia" w:eastAsia="Georgia" w:hAnsi="Georgia"/>
                <w:color w:val="111827"/>
                <w:sz w:val="19"/>
                <w:szCs w:val="19"/>
              </w:rPr>
              <w:t xml:space="preserve">For each risk, identify the risk owner — the business manager responsible for the assets at risk — and record their formal acceptance of the residual risk. Acceptance must be documented, named, and dated.</w:t>
            </w:r>
          </w:p>
          <w:p>
            <w:r>
              <w:rPr>
                <w:rFonts w:ascii="Arial" w:cs="Arial" w:eastAsia="Arial" w:hAnsi="Arial"/>
                <w:b/>
                <w:bCs/>
                <w:color w:val="0F766E"/>
                <w:sz w:val="17"/>
                <w:szCs w:val="17"/>
              </w:rPr>
              <w:t xml:space="preserve">Action: </w:t>
            </w:r>
            <w:r>
              <w:rPr>
                <w:rFonts w:ascii="Georgia" w:cs="Georgia" w:eastAsia="Georgia" w:hAnsi="Georgia"/>
                <w:color w:val="111827"/>
                <w:sz w:val="17"/>
                <w:szCs w:val="17"/>
              </w:rPr>
              <w:t xml:space="preserve">Risk owners must be business managers with authority over the affected assets — not the ISMS Manager or IT team. Each risk owner receives a formal risk briefing showing the inherent risk, the controls in place, and the residual risk they are being asked to accept. Their acceptance is documented in the matrix and the risk register.</w:t>
            </w:r>
          </w:p>
        </w:tc>
        <w:tc>
          <w:tcPr>
            <w:tcW w:type="auto" w:w="176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Named risk owner per risk row. Dated risk acceptance record — either a signed document or a recorded decision in the management review minutes for each risk.</w:t>
            </w:r>
          </w:p>
        </w:tc>
      </w:tr>
      <w:tr>
        <w:tc>
          <w:tcPr>
            <w:tcW w:type="auto" w:w="48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07</w:t>
            </w:r>
          </w:p>
        </w:tc>
        <w:tc>
          <w:tcPr>
            <w:tcW w:type="auto"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Add regulatory links</w:t>
            </w:r>
          </w:p>
        </w:tc>
        <w:tc>
          <w:tcPr>
            <w:tcW w:type="auto" w:w="5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pPr>
              <w:spacing w:after="50"/>
            </w:pPr>
            <w:r>
              <w:rPr>
                <w:rFonts w:ascii="Georgia" w:cs="Georgia" w:eastAsia="Georgia" w:hAnsi="Georgia"/>
                <w:color w:val="111827"/>
                <w:sz w:val="19"/>
                <w:szCs w:val="19"/>
              </w:rPr>
              <w:t xml:space="preserve">For each risk-control combination, identify the Indonesian regulatory requirements that are addressed. This column transforms the traceability matrix from an ISO 27001 tool into a multi-framework compliance artifact.</w:t>
            </w:r>
          </w:p>
          <w:p>
            <w:r>
              <w:rPr>
                <w:rFonts w:ascii="Arial" w:cs="Arial" w:eastAsia="Arial" w:hAnsi="Arial"/>
                <w:b/>
                <w:bCs/>
                <w:color w:val="0F766E"/>
                <w:sz w:val="17"/>
                <w:szCs w:val="17"/>
              </w:rPr>
              <w:t xml:space="preserve">Action: </w:t>
            </w:r>
            <w:r>
              <w:rPr>
                <w:rFonts w:ascii="Georgia" w:cs="Georgia" w:eastAsia="Georgia" w:hAnsi="Georgia"/>
                <w:color w:val="111827"/>
                <w:sz w:val="17"/>
                <w:szCs w:val="17"/>
              </w:rPr>
              <w:t xml:space="preserve">For each row, identify: which UU PDP articles are relevant (data protection, breach notification, data subject rights), which POJK requirements apply (IT governance, operational risk, outsourcing), and whether BI payment system standards are relevant. Reference specific article numbers, not just regulation names.</w:t>
            </w:r>
          </w:p>
        </w:tc>
        <w:tc>
          <w:tcPr>
            <w:tcW w:type="auto" w:w="176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Regulatory link column with specific article references per risk-control row. The matrix is now usable for regulatory examiner responses, not just audit preparation.</w:t>
            </w:r>
          </w:p>
        </w:tc>
      </w:tr>
      <w:tr>
        <w:tc>
          <w:tcPr>
            <w:tcW w:type="auto" w:w="480"/>
            <w:tcBorders>
              <w:top w:val="single" w:color="DBEAFE" w:sz="1"/>
              <w:left w:val="single" w:color="DBEAFE" w:sz="1"/>
              <w:bottom w:val="single" w:color="DBEAFE" w:sz="1"/>
              <w:right w:val="single" w:color="DBEAFE" w:sz="1"/>
            </w:tcBorders>
            <w:shd w:fill="334155"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08</w:t>
            </w:r>
          </w:p>
        </w:tc>
        <w:tc>
          <w:tcPr>
            <w:tcW w:type="auto"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Add evidence pointers</w:t>
            </w:r>
          </w:p>
        </w:tc>
        <w:tc>
          <w:tcPr>
            <w:tcW w:type="auto" w:w="536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pPr>
              <w:spacing w:after="50"/>
            </w:pPr>
            <w:r>
              <w:rPr>
                <w:rFonts w:ascii="Georgia" w:cs="Georgia" w:eastAsia="Georgia" w:hAnsi="Georgia"/>
                <w:color w:val="111827"/>
                <w:sz w:val="19"/>
                <w:szCs w:val="19"/>
              </w:rPr>
              <w:t xml:space="preserve">For each 'Implemented' or 'Partial' control in the matrix, add a pointer to where the evidence lives. Evidence pointers should be specific enough that the ISMS Manager can retrieve the evidence during an audit within 30 seconds.</w:t>
            </w:r>
          </w:p>
          <w:p>
            <w:r>
              <w:rPr>
                <w:rFonts w:ascii="Arial" w:cs="Arial" w:eastAsia="Arial" w:hAnsi="Arial"/>
                <w:b/>
                <w:bCs/>
                <w:color w:val="0F766E"/>
                <w:sz w:val="17"/>
                <w:szCs w:val="17"/>
              </w:rPr>
              <w:t xml:space="preserve">Action: </w:t>
            </w:r>
            <w:r>
              <w:rPr>
                <w:rFonts w:ascii="Georgia" w:cs="Georgia" w:eastAsia="Georgia" w:hAnsi="Georgia"/>
                <w:color w:val="111827"/>
                <w:sz w:val="17"/>
                <w:szCs w:val="17"/>
              </w:rPr>
              <w:t xml:space="preserve">Use a consistent format: [Library location] / [Document name] / [Date] for documents. [System name]: [specific record] for system evidence. If using Bitlion GRC: record the control ID in the platform which links directly to the evidence record.</w:t>
            </w:r>
          </w:p>
        </w:tc>
        <w:tc>
          <w:tcPr>
            <w:tcW w:type="auto" w:w="176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6"/>
                <w:szCs w:val="16"/>
              </w:rPr>
              <w:t xml:space="preserve">Evidence pointer column for all implemented controls. Auditor can follow the pointer directly to the evidence without further navigation.</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6D28D9" w:sz="1"/>
              <w:left w:val="single" w:color="6D28D9" w:sz="12"/>
              <w:bottom w:val="single" w:color="6D28D9" w:sz="1"/>
              <w:right w:val="single" w:color="6D28D9" w:sz="1"/>
            </w:tcBorders>
            <w:shd w:fill="F5F3FF" w:val="clear"/>
            <w:tcMar>
              <w:top w:type="dxa" w:w="140"/>
              <w:left w:type="dxa" w:w="200"/>
              <w:bottom w:type="dxa" w:w="140"/>
              <w:right w:type="dxa" w:w="160"/>
            </w:tcMar>
          </w:tcPr>
          <w:p>
            <w:r>
              <w:rPr>
                <w:rFonts w:ascii="Georgia" w:cs="Georgia" w:eastAsia="Georgia" w:hAnsi="Georgia"/>
                <w:i/>
                <w:iCs/>
                <w:color w:val="6D28D9"/>
                <w:sz w:val="21"/>
                <w:szCs w:val="21"/>
              </w:rPr>
              <w:t xml:space="preserve">Build timing: The traceability matrix should be initiated in Phase 2 (Risk Assessment) and progressively populated through Phase 4 (Control Implementation). It is NOT a document to be built in the final weeks before Stage 1. A matrix built in a rush before Stage 1 will be generic, inconsistent, and unconvincing. A matrix built progressively over the implementation period will be specific, evidenced, and defensible. Start with the HIGH/CRITICAL risks in Phase 2 and add lower risks progressively as implementation matures.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Using the Matrix at Management Review</w:t>
      </w:r>
    </w:p>
    <w:p>
      <w:pPr>
        <w:spacing w:after="80"/>
      </w:pPr>
      <w:r>
        <w:t xml:space="preserve"/>
      </w:r>
    </w:p>
    <w:p>
      <w:pPr>
        <w:spacing w:after="160" w:line="320"/>
        <w:jc w:val="both"/>
      </w:pPr>
      <w:r>
        <w:rPr>
          <w:rFonts w:ascii="Georgia" w:cs="Georgia" w:eastAsia="Georgia" w:hAnsi="Georgia"/>
          <w:color w:val="111827"/>
          <w:sz w:val="22"/>
          <w:szCs w:val="22"/>
        </w:rPr>
        <w:t xml:space="preserve">The traceability matrix is not only an audit artifact — it is the primary data source for management review. Four of the eight required Clause 9.3.2 inputs can be derived directly from the matrix. Using the matrix at management review demonstrates that governance is data-driven rather than intuition-driven: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4560"/>
        <w:gridCol w:w="28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Management review use</w:t>
            </w:r>
          </w:p>
        </w:tc>
        <w:tc>
          <w:tcPr>
            <w:tcW w:type="dxa" w:w="4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What it shows</w:t>
            </w:r>
          </w:p>
        </w:tc>
        <w:tc>
          <w:tcPr>
            <w:tcW w:type="dxa" w:w="2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Format</w:t>
            </w:r>
          </w:p>
        </w:tc>
      </w:tr>
      <w:tr>
        <w:tc>
          <w:tcPr>
            <w:tcW w:type="auto"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Risk posture summary</w:t>
            </w:r>
          </w:p>
        </w:tc>
        <w:tc>
          <w:tcPr>
            <w:tcW w:type="auto" w:w="4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Present a heat-map view of the top 10 risks organized by residual score — HIGH and CRITICAL residuals highlighted. Management sees at a glance which risks remain elevated and why. This is the 'current security posture' input to management review (Clause 9.3.2(a)).</w:t>
            </w:r>
          </w:p>
        </w:tc>
        <w:tc>
          <w:tcPr>
            <w:tcW w:type="auto"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Simple table: Risk ID | Description | Inherent | Residual | Trend (improving / stable / worsening) | Owner.</w:t>
            </w:r>
          </w:p>
        </w:tc>
      </w:tr>
      <w:tr>
        <w:tc>
          <w:tcPr>
            <w:tcW w:type="auto"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Treatment plan progress</w:t>
            </w:r>
          </w:p>
        </w:tc>
        <w:tc>
          <w:tcPr>
            <w:tcW w:type="auto" w:w="4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Show which risks are being treated by controls currently in 'Planned' or 'Partial' status, the completion target dates, and whether those dates will be met. Management sees where implementation is on track and where resource decisions are needed.</w:t>
            </w:r>
          </w:p>
        </w:tc>
        <w:tc>
          <w:tcPr>
            <w:tcW w:type="auto"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Risk ID | Partial/Planned control | Target date | Current status | Resource needed.</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Residual risk acceptance decisions</w:t>
            </w:r>
          </w:p>
        </w:tc>
        <w:tc>
          <w:tcPr>
            <w:tcW w:type="auto" w:w="456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8"/>
                <w:szCs w:val="18"/>
              </w:rPr>
              <w:t xml:space="preserve">Bring the residual risks without current owner acceptance to management review for formal acceptance decisions. Management records their acceptance or escalation in the minutes — satisfying Clause 6.1.3(e) and creating a dated governance record.</w:t>
            </w:r>
          </w:p>
        </w:tc>
        <w:tc>
          <w:tcPr>
            <w:tcW w:type="auto"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Risk ID | Residual score | Why residual is at this level | Proposed accepting owner | Decision: Accept / Treat further / Escalate.</w:t>
            </w:r>
          </w:p>
        </w:tc>
      </w:tr>
      <w:tr>
        <w:tc>
          <w:tcPr>
            <w:tcW w:type="auto"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Control effectiveness trends</w:t>
            </w:r>
          </w:p>
        </w:tc>
        <w:tc>
          <w:tcPr>
            <w:tcW w:type="auto" w:w="45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8"/>
                <w:szCs w:val="18"/>
              </w:rPr>
              <w:t xml:space="preserve">Show how the average residual risk score for the risk portfolio has moved over time as controls have been deployed. This is the 'performance vs. objectives' input to management review (Clause 9.3.2(b)) — demonstrating that the ISMS is actually reducing organizational risk.</w:t>
            </w:r>
          </w:p>
        </w:tc>
        <w:tc>
          <w:tcPr>
            <w:tcW w:type="auto" w:w="28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i/>
                <w:iCs/>
                <w:color w:val="1B3A5C"/>
                <w:sz w:val="17"/>
                <w:szCs w:val="17"/>
              </w:rPr>
              <w:t xml:space="preserve">Chart or table: Quarter | Average residual risk score for TOP-10 portfolio | Controls deployed in period | Notable changes.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GRC traceability module: Bitlion's GRC platform maintains the traceability matrix as a live, connected artifact — not a static spreadsheet. When a risk register entry is updated, all connected controls and residual risk scores are flagged for review. When a control's implementation status changes, the connected risk rows automatically show the updated status. The regulatory mapping column is pre-populated with UU PDP, POJK, and BI references for each Annex A control, reducing the build time for the regulatory column from days to hours. Management review dashboards draw directly from the matrix, eliminating the manual reporting step.</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Common Traceability Matrix Failures</w:t>
      </w:r>
    </w:p>
    <w:p>
      <w:pPr>
        <w:spacing w:after="80"/>
      </w:pPr>
      <w:r>
        <w:t xml:space="preserve"/>
      </w:r>
    </w:p>
    <w:p>
      <w:pPr>
        <w:spacing w:after="160" w:line="320"/>
        <w:jc w:val="both"/>
      </w:pPr>
      <w:r>
        <w:rPr>
          <w:rFonts w:ascii="Georgia" w:cs="Georgia" w:eastAsia="Georgia" w:hAnsi="Georgia"/>
          <w:color w:val="111827"/>
          <w:sz w:val="22"/>
          <w:szCs w:val="22"/>
        </w:rPr>
        <w:t xml:space="preserve">Six failure patterns account for the majority of traceability-related audit findings. Each represents a different way the matrix can look complete while failing its primary purpose — connecting risks to controls in a way that can be verified:</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600"/>
        <w:gridCol w:w="1680"/>
        <w:gridCol w:w="2640"/>
        <w:gridCol w:w="2440"/>
      </w:tblGrid>
      <w:tr>
        <w:tc>
          <w:tcPr>
            <w:tcW w:type="dxa" w:w="2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Common failure</w:t>
            </w:r>
          </w:p>
        </w:tc>
        <w:tc>
          <w:tcPr>
            <w:tcW w:type="dxa" w:w="168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9"/>
                <w:szCs w:val="19"/>
              </w:rPr>
              <w:t xml:space="preserve">Audit impact</w:t>
            </w:r>
          </w:p>
        </w:tc>
        <w:tc>
          <w:tcPr>
            <w:tcW w:type="dxa" w:w="26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Why it happens</w:t>
            </w:r>
          </w:p>
        </w:tc>
        <w:tc>
          <w:tcPr>
            <w:tcW w:type="dxa" w:w="2440"/>
            <w:tcBorders>
              <w:top w:val="single" w:color="DBEAFE" w:sz="1"/>
              <w:left w:val="single" w:color="DBEAFE" w:sz="1"/>
              <w:bottom w:val="single" w:color="DBEAFE" w:sz="1"/>
              <w:right w:val="single" w:color="DBEAFE" w:sz="1"/>
            </w:tcBorders>
            <w:shd w:fill="065F46" w:val="clear"/>
            <w:tcMar>
              <w:top w:type="dxa" w:w="90"/>
              <w:left w:type="dxa" w:w="110"/>
              <w:bottom w:type="dxa" w:w="90"/>
              <w:right w:type="dxa" w:w="110"/>
            </w:tcMar>
          </w:tcPr>
          <w:p>
            <w:r>
              <w:rPr>
                <w:rFonts w:ascii="Arial" w:cs="Arial" w:eastAsia="Arial" w:hAnsi="Arial"/>
                <w:b/>
                <w:bCs/>
                <w:color w:val="FFFFFF"/>
                <w:sz w:val="19"/>
                <w:szCs w:val="19"/>
              </w:rPr>
              <w:t xml:space="preserve">Fix</w:t>
            </w:r>
          </w:p>
        </w:tc>
      </w:tr>
      <w:tr>
        <w:tc>
          <w:tcPr>
            <w:tcW w:type="auto" w:w="26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Matrix built from SoA, not from risk register</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The matrix shows which controls are implemented but cannot answer 'which risks do they treat?' because the risk dimension is absent. Auditors cannot verify risk treatment completeness. This is a Clause 6.1.3 gap.</w:t>
            </w:r>
          </w:p>
        </w:tc>
        <w:tc>
          <w:tcPr>
            <w:tcW w:type="auto" w:w="264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Rebuild from the risk register outward. Every row starts with a risk. Controls are mapped to risks — not risks backward-fitted to controls.</w:t>
            </w:r>
          </w:p>
        </w:tc>
        <w:tc>
          <w:tcPr>
            <w:tcW w:type="auto" w:w="24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Rebuild from the risk register outward. Every row starts with a risk. Controls are mapped to risks — not risks backward-fitted to controls.</w:t>
            </w:r>
          </w:p>
        </w:tc>
      </w:tr>
      <w:tr>
        <w:tc>
          <w:tcPr>
            <w:tcW w:type="auto" w:w="26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Generic risk descriptions that match all controls</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'Risk of security incidents' mapped to all 93 controls. 'Risk of data breach' appears in every row. Generic descriptions do not enable specific control selection or effective risk treatment. Auditors treat generic risk descriptions as evidence of a superficial risk assessment.</w:t>
            </w:r>
          </w:p>
        </w:tc>
        <w:tc>
          <w:tcPr>
            <w:tcW w:type="auto" w:w="264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Risk descriptions must be specific: asset + threat + vulnerability. 'Customer transaction database → brute force attack → weak password policy' is specific and maps naturally to 8.5, 5.17, and 8.3. 'Risk of security incidents' maps to nothing specifically.</w:t>
            </w:r>
          </w:p>
        </w:tc>
        <w:tc>
          <w:tcPr>
            <w:tcW w:type="auto" w:w="24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Risk descriptions must be specific: asset + threat + vulnerability. 'Customer transaction database → brute force attack → weak password policy' is specific and maps naturally to 8.5, 5.17, and 8.3. 'Risk of security incidents' maps to nothing specifically.</w:t>
            </w:r>
          </w:p>
        </w:tc>
      </w:tr>
      <w:tr>
        <w:tc>
          <w:tcPr>
            <w:tcW w:type="auto" w:w="26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Implementation status not reflecting reality</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SoA and matrix show 'Implemented' for controls where Stage 2 evidence reveals only partial deployment. Auditors treat this as a management system integrity issue — the documentation does not reflect operational reality.</w:t>
            </w:r>
          </w:p>
        </w:tc>
        <w:tc>
          <w:tcPr>
            <w:tcW w:type="auto" w:w="264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Use 'Partial' status liberally and honestly. A 'Partial' status with a specific explanation ('MFA deployed for 94/96 user accounts — 2 service accounts planned for Q2 2026') is far better than 'Implemented' that Stage 2 testing will disprove.</w:t>
            </w:r>
          </w:p>
        </w:tc>
        <w:tc>
          <w:tcPr>
            <w:tcW w:type="auto" w:w="24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Use 'Partial' status liberally and honestly. A 'Partial' status with a specific explanation ('MFA deployed for 94/96 user accounts — 2 service accounts planned for Q2 2026') is far better than 'Implemented' that Stage 2 testing will disprove.</w:t>
            </w:r>
          </w:p>
        </w:tc>
      </w:tr>
      <w:tr>
        <w:tc>
          <w:tcPr>
            <w:tcW w:type="auto" w:w="26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Residual scores not recalculated after control deployment</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Inherent risk scores are accurate. Controls are now deployed. But residual scores were never updated — they still show pre-implementation scores, making the ISMS appear to have achieved no risk reduction despite implementing controls.</w:t>
            </w:r>
          </w:p>
        </w:tc>
        <w:tc>
          <w:tcPr>
            <w:tcW w:type="auto" w:w="264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Update residual scores every time a control's implementation status changes significantly. The residual score must reflect the current state of controls, not the planned state.</w:t>
            </w:r>
          </w:p>
        </w:tc>
        <w:tc>
          <w:tcPr>
            <w:tcW w:type="auto" w:w="24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Update residual scores every time a control's implementation status changes significantly. The residual score must reflect the current state of controls, not the planned state.</w:t>
            </w:r>
          </w:p>
        </w:tc>
      </w:tr>
      <w:tr>
        <w:tc>
          <w:tcPr>
            <w:tcW w:type="auto" w:w="26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Risk acceptance missing or undated</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Residual risks are calculated but there is no documented acceptance by a named risk owner. Or acceptance is documented but not dated — auditors cannot tell whether it was accepted before or after the last risk assessment. Clause 6.1.3(e) requires formal acceptance.</w:t>
            </w:r>
          </w:p>
        </w:tc>
        <w:tc>
          <w:tcPr>
            <w:tcW w:type="auto" w:w="264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Every residual risk must have a named owner (not the ISMS Manager) and a dated acceptance record. Annual risk review must refresh acceptances — stale acceptance records signal the risk governance process is not running.</w:t>
            </w:r>
          </w:p>
        </w:tc>
        <w:tc>
          <w:tcPr>
            <w:tcW w:type="auto" w:w="24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Every residual risk must have a named owner (not the ISMS Manager) and a dated acceptance record. Annual risk review must refresh acceptances — stale acceptance records signal the risk governance process is not running.</w:t>
            </w:r>
          </w:p>
        </w:tc>
      </w:tr>
      <w:tr>
        <w:tc>
          <w:tcPr>
            <w:tcW w:type="auto" w:w="26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Matrix never updated after changes</w:t>
            </w:r>
          </w:p>
        </w:tc>
        <w:tc>
          <w:tcPr>
            <w:tcW w:type="auto" w:w="168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7"/>
                <w:szCs w:val="17"/>
              </w:rPr>
              <w:t xml:space="preserve">Matrix was built at implementation and has not been updated for 12 months despite new risks, new controls deployed, and regulatory changes. Surveillance auditors find the matrix refers to risks that no longer exist and misses risks that have been added.</w:t>
            </w:r>
          </w:p>
        </w:tc>
        <w:tc>
          <w:tcPr>
            <w:tcW w:type="auto" w:w="264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Add matrix update to the ISMS calendar: updated at each quarterly risk register review, at each management review, and when significant changes occur. The matrix is a living document — not a one-time implementation artifact.</w:t>
            </w:r>
          </w:p>
        </w:tc>
        <w:tc>
          <w:tcPr>
            <w:tcW w:type="auto" w:w="244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Add matrix update to the ISMS calendar: updated at each quarterly risk register review, at each management review, and when significant changes occur. The matrix is a living document — not a one-time implementation artifact.</w:t>
            </w:r>
          </w:p>
        </w:tc>
      </w:tr>
    </w:tbl>
    <w:p>
      <w:pPr>
        <w:spacing w:after="160"/>
      </w:pPr>
      <w:r>
        <w:t xml:space="preserve"/>
      </w:r>
    </w:p>
    <w:p>
      <w:pPr>
        <w:spacing w:after="160" w:line="320"/>
        <w:jc w:val="both"/>
      </w:pPr>
      <w:r>
        <w:rPr>
          <w:rFonts w:ascii="Georgia" w:cs="Georgia" w:eastAsia="Georgia" w:hAnsi="Georgia"/>
          <w:color w:val="111827"/>
          <w:sz w:val="22"/>
          <w:szCs w:val="22"/>
        </w:rPr>
        <w:t xml:space="preserve">The common thread across these failures is the same pattern seen throughout the documentation series: the matrix was built for the audit rather than for the management system. A matrix built to satisfy a Stage 1 package requirement will be generic, static, and disconnected from operational reality. A matrix built as a genuine risk management tool will naturally satisfy the audit because it reflects how the organization actually tracks and treats its information security risks.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Traceability as Organizational Intelligence</w:t>
      </w:r>
    </w:p>
    <w:p>
      <w:pPr>
        <w:spacing w:after="80"/>
      </w:pPr>
      <w:r>
        <w:t xml:space="preserve"/>
      </w:r>
    </w:p>
    <w:p>
      <w:pPr>
        <w:spacing w:after="160" w:line="320"/>
        <w:jc w:val="both"/>
      </w:pPr>
      <w:r>
        <w:rPr>
          <w:rFonts w:ascii="Georgia" w:cs="Georgia" w:eastAsia="Georgia" w:hAnsi="Georgia"/>
          <w:color w:val="111827"/>
          <w:sz w:val="22"/>
          <w:szCs w:val="22"/>
        </w:rPr>
        <w:t xml:space="preserve">The highest-value use of a well-maintained traceability matrix is not audit preparation — it is organizational decision-making. When the CISO needs to make the case for a new security investment, the matrix shows which high-residual risks are currently under-controlled and which specific controls would reduce them. When the board asks whether the organization's security spend is addressing the right risks, the matrix shows the connection between expenditure (controls implemented) and risk reduction (residual score movement). When a new regulation introduces new requirements, the matrix shows which existing controls already address the new obligations and where genuine gaps exist.</w:t>
      </w:r>
    </w:p>
    <w:p>
      <w:pPr>
        <w:spacing w:after="80"/>
      </w:pPr>
      <w:r>
        <w:t xml:space="preserve"/>
      </w:r>
    </w:p>
    <w:p>
      <w:pPr>
        <w:spacing w:after="160" w:line="320"/>
        <w:jc w:val="both"/>
      </w:pPr>
      <w:r>
        <w:rPr>
          <w:rFonts w:ascii="Georgia" w:cs="Georgia" w:eastAsia="Georgia" w:hAnsi="Georgia"/>
          <w:color w:val="111827"/>
          <w:sz w:val="22"/>
          <w:szCs w:val="22"/>
        </w:rPr>
        <w:t xml:space="preserve">This is what distinguishes a mature ISMS from a compliance exercise. The compliance exercise produces documents that satisfy an auditor. The mature ISMS produces documents that the organization uses to govern itself — and that satisfy auditors as a byproduct of being genuinely well-managed. The traceability matrix, maintained as a living management tool rather than a static compliance artifact, is one of the clearest signals of which kind of ISMS an organization has built.</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5.7 — Control Mapping: ISO 27001 ↔ UU PDP ↔ POJK ↔ BSSN: How the 93 Annex A controls map to Indonesian regulatory requirements — identifying which controls satisfy which regulatory obligations and where genuine gaps exist between ISO 27001 and Indonesian law.</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2026-03-28T06:45:38.362Z</dcterms:created>
  <dcterms:modified xsi:type="dcterms:W3CDTF">2026-03-28T06:45:38.363Z</dcterms:modified>
</cp:coreProperties>
</file>

<file path=docProps/custom.xml><?xml version="1.0" encoding="utf-8"?>
<Properties xmlns="http://schemas.openxmlformats.org/officeDocument/2006/custom-properties" xmlns:vt="http://schemas.openxmlformats.org/officeDocument/2006/docPropsVTypes"/>
</file>